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IntGüRVG — Allgemeine gerichtliche Verfahrensvorschriften</w:t>
      </w:r>
    </w:p>
    <w:p>
      <w:r>
        <w:rPr>
          <w:color w:val="555555"/>
          <w:sz w:val="18"/>
        </w:rPr>
        <w:t xml:space="preserve">Internationales Güterrechtsverfahrensgesetz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gerichtliche Verfahren sind die Vorschriften des Gesetzes über das Verfahren in Familiensachen und in den Angelegenheiten der freiwilligen Gerichtsbarkeit anzuwenden, soweit in der Verordnung (EU) 2016/1103 und der Verordnung (EU) 2016/1104 sowie in diesem Gesetz nichts anderes bestimmt ist.</w:t>
      </w:r>
    </w:p>
    <w:p>
      <w:r>
        <w:rPr>
          <w:color w:val="555555"/>
          <w:sz w:val="17"/>
        </w:rPr>
        <w:t xml:space="preserve">Zitiervorschlag: § 2 IntGüRVG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https://recht.nulegal.eu/gesetze/IntG%C3%BCRVG/2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