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IntGüRVG — Einwände gegen die Beschränkung auf Maßregeln zur Sicherung</w:t>
      </w:r>
    </w:p>
    <w:p>
      <w:r>
        <w:rPr>
          <w:color w:val="555555"/>
          <w:sz w:val="18"/>
        </w:rPr>
        <w:t xml:space="preserve">Internationales Güterrechtsverfahrensgesetz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Einwendungen des Schuldners, dass bei der Zwangsvollstreckung die Beschränkung auf Maßregeln zur Sicherung nach der Verordnung (EU) 2016/1103 oder der Verordnung (EU) 2016/1104 oder auf Grund einer Anordnung gemäß § 18 Absatz 2 nicht eingehalten werde, oder Einwendungen des Gläubigers, dass eine bestimmte Maßnahme der Zwangsvollstreckung mit dieser Beschränkung vereinbar sei, sind im Wege der Erinnerung nach § 766 der Zivilprozessordnung bei dem Vollstreckungsgericht (§ 764 der Zivilprozessordnung) geltend zu machen.</w:t>
      </w:r>
    </w:p>
    <w:p>
      <w:r>
        <w:rPr>
          <w:color w:val="555555"/>
          <w:sz w:val="17"/>
        </w:rPr>
        <w:t xml:space="preserve">Zitiervorschlag: § 15 IntGüRVG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https://recht.nulegal.eu/gesetze/IntG%C3%BCRVG/15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