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IntGüRVG — Entscheidung über die Rechtsbeschwerde</w:t>
      </w:r>
    </w:p>
    <w:p>
      <w:r>
        <w:rPr>
          <w:color w:val="555555"/>
          <w:sz w:val="18"/>
        </w:rPr>
        <w:t xml:space="preserve">Internationales Güterrechtsverfahrensgesetz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die Zwangsvollstreckung aus dem Titel durch das Rechtsbeschwerdegericht zugelassen wird, erteilt der Urkundsbeamte der Geschäftsstelle dieses Gerichts die Vollstreckungsklausel. § 8 Absatz 1 Satz 2 bis 4 sowie die §§ 9 und 10 Absatz 1 gelten entsprechend. Ein Zusatz über die Beschränkung der Zwangsvollstreckung entfällt.</w:t>
      </w:r>
    </w:p>
    <w:p>
      <w:r>
        <w:rPr>
          <w:color w:val="555555"/>
          <w:sz w:val="17"/>
        </w:rPr>
        <w:t xml:space="preserve">Zitiervorschlag: § 14 IntGüRVG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https://recht.nulegal.eu/gesetze/IntG%C3%BCRVG/14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