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Inhaltsübersicht IntFamRVG</w:t>
      </w:r>
    </w:p>
    <w:p>
      <w:r>
        <w:rPr>
          <w:color w:val="555555"/>
          <w:sz w:val="18"/>
        </w:rPr>
        <w:t xml:space="preserve">Internationales Familienrechtsverfahrensgesetz</w:t>
      </w:r>
    </w:p>
    <w:p>
      <w:r>
        <w:rPr>
          <w:color w:val="555555"/>
          <w:sz w:val="18"/>
        </w:rPr>
        <w:t xml:space="preserve">Stand: 06.02.2024 (konsolidierte Textfassung, kein amtliches Inkrafttretensdatum)</w:t>
      </w:r>
    </w:p>
    <w:p>
      <w:r>
        <w:t xml:space="preserve">Abschnitt 1Anwendungsbereich; Begriffsbestimmungen</w:t>
      </w:r>
    </w:p>
    <w:p>
      <w:r>
        <w:rPr>
          <w:rFonts w:ascii="Courier New" w:hAnsi="Courier New"/>
          <w:sz w:val="17"/>
        </w:rPr>
        <w:t xml:space="preserve">§ 1    Anwendungsbereich</w:t>
      </w:r>
    </w:p>
    <w:p>
      <w:r>
        <w:rPr>
          <w:rFonts w:ascii="Courier New" w:hAnsi="Courier New"/>
          <w:sz w:val="17"/>
        </w:rPr>
        <w:t xml:space="preserve">§ 2    Begriffsbestimmungen</w:t>
      </w:r>
    </w:p>
    <w:p>
      <w:r>
        <w:t xml:space="preserve">Abschnitt 2Zentrale und nationale Behörde; Jugendamt</w:t>
      </w:r>
    </w:p>
    <w:p>
      <w:r>
        <w:rPr>
          <w:rFonts w:ascii="Courier New" w:hAnsi="Courier New"/>
          <w:sz w:val="17"/>
        </w:rPr>
        <w:t xml:space="preserve">§ 3    Bestimmung der Zentralen und der nationalen Behörde</w:t>
      </w:r>
    </w:p>
    <w:p>
      <w:r>
        <w:rPr>
          <w:rFonts w:ascii="Courier New" w:hAnsi="Courier New"/>
          <w:sz w:val="17"/>
        </w:rPr>
        <w:t xml:space="preserve">§ 4    Übersetzungen bei eingehenden Ersuchen</w:t>
      </w:r>
    </w:p>
    <w:p>
      <w:r>
        <w:rPr>
          <w:rFonts w:ascii="Courier New" w:hAnsi="Courier New"/>
          <w:sz w:val="17"/>
        </w:rPr>
        <w:t xml:space="preserve">§ 5    Übersetzungen bei ausgehenden Ersuchen</w:t>
      </w:r>
    </w:p>
    <w:p>
      <w:r>
        <w:rPr>
          <w:rFonts w:ascii="Courier New" w:hAnsi="Courier New"/>
          <w:sz w:val="17"/>
        </w:rPr>
        <w:t xml:space="preserve">§ 6    Aufgabenerfüllung durch die Zentrale Behörde</w:t>
      </w:r>
    </w:p>
    <w:p>
      <w:r>
        <w:rPr>
          <w:rFonts w:ascii="Courier New" w:hAnsi="Courier New"/>
          <w:sz w:val="17"/>
        </w:rPr>
        <w:t xml:space="preserve">§ 7    Aufenthaltsermittlung</w:t>
      </w:r>
    </w:p>
    <w:p>
      <w:r>
        <w:rPr>
          <w:rFonts w:ascii="Courier New" w:hAnsi="Courier New"/>
          <w:sz w:val="17"/>
        </w:rPr>
        <w:t xml:space="preserve">§ 8    Anrufung des Oberlandesgerichts</w:t>
      </w:r>
    </w:p>
    <w:p>
      <w:r>
        <w:rPr>
          <w:rFonts w:ascii="Courier New" w:hAnsi="Courier New"/>
          <w:sz w:val="17"/>
        </w:rPr>
        <w:t xml:space="preserve">§ 9    Mitwirkung des Jugendamts an Verfahren</w:t>
      </w:r>
    </w:p>
    <w:p>
      <w:r>
        <w:t xml:space="preserve">Abschnitt 3Gerichtliche Zuständigkeit und Zuständigkeitskonzentration</w:t>
      </w:r>
    </w:p>
    <w:p>
      <w:r>
        <w:rPr>
          <w:rFonts w:ascii="Courier New" w:hAnsi="Courier New"/>
          <w:sz w:val="17"/>
        </w:rPr>
        <w:t xml:space="preserve">§ 10    Örtliche Zuständigkeit für die Anerkennung und Vollstreckung</w:t>
      </w:r>
    </w:p>
    <w:p>
      <w:r>
        <w:rPr>
          <w:rFonts w:ascii="Courier New" w:hAnsi="Courier New"/>
          <w:sz w:val="17"/>
        </w:rPr>
        <w:t xml:space="preserve">§ 11    Örtliche Zuständigkeit nach dem Haager Kindesentführungsübereinkommen</w:t>
      </w:r>
    </w:p>
    <w:p>
      <w:r>
        <w:rPr>
          <w:rFonts w:ascii="Courier New" w:hAnsi="Courier New"/>
          <w:sz w:val="17"/>
        </w:rPr>
        <w:t xml:space="preserve">§ 12    Zuständigkeitskonzentration</w:t>
      </w:r>
    </w:p>
    <w:p>
      <w:r>
        <w:rPr>
          <w:rFonts w:ascii="Courier New" w:hAnsi="Courier New"/>
          <w:sz w:val="17"/>
        </w:rPr>
        <w:t xml:space="preserve">§ 13    Zuständigkeitskonzentration für andere Familiensachen</w:t>
      </w:r>
    </w:p>
    <w:p>
      <w:r>
        <w:rPr>
          <w:rFonts w:ascii="Courier New" w:hAnsi="Courier New"/>
          <w:sz w:val="17"/>
        </w:rPr>
        <w:t xml:space="preserve">§ 13a    Verfahren bei grenzüberschreitender Abgabe</w:t>
      </w:r>
    </w:p>
    <w:p>
      <w:r>
        <w:t xml:space="preserve">Abschnitt 4Allgemeine gerichtliche Verfahrensvorschriften</w:t>
      </w:r>
    </w:p>
    <w:p>
      <w:r>
        <w:rPr>
          <w:rFonts w:ascii="Courier New" w:hAnsi="Courier New"/>
          <w:sz w:val="17"/>
        </w:rPr>
        <w:t xml:space="preserve">§ 14    Familiengerichtliches Verfahren</w:t>
      </w:r>
    </w:p>
    <w:p>
      <w:r>
        <w:rPr>
          <w:rFonts w:ascii="Courier New" w:hAnsi="Courier New"/>
          <w:sz w:val="17"/>
        </w:rPr>
        <w:t xml:space="preserve">§ 15    Einstweilige Anordnungen</w:t>
      </w:r>
    </w:p>
    <w:p>
      <w:r>
        <w:t xml:space="preserve">Abschnitt 5Zulassung der Zwangsvollstreckung, Anerkennungsfeststellung und Wiederherstellung des Sorgeverhältnisses im Anwendungsbereich des Haager Kinderschutzübereinkommens und des Europäischen SorgerechtsübereinkommensUnterabschnitt 1Zulassung der Zwangsvollstreckung im ersten Rechtszug</w:t>
      </w:r>
    </w:p>
    <w:p>
      <w:r>
        <w:rPr>
          <w:rFonts w:ascii="Courier New" w:hAnsi="Courier New"/>
          <w:sz w:val="17"/>
        </w:rPr>
        <w:t xml:space="preserve">§ 16    Antragstellung</w:t>
      </w:r>
    </w:p>
    <w:p>
      <w:r>
        <w:rPr>
          <w:rFonts w:ascii="Courier New" w:hAnsi="Courier New"/>
          <w:sz w:val="17"/>
        </w:rPr>
        <w:t xml:space="preserve">§ 17    Zustellungsbevollmächtigter</w:t>
      </w:r>
    </w:p>
    <w:p>
      <w:r>
        <w:rPr>
          <w:rFonts w:ascii="Courier New" w:hAnsi="Courier New"/>
          <w:sz w:val="17"/>
        </w:rPr>
        <w:t xml:space="preserve">§ 18    Besondere Regelungen zum Haager Kinderschutzübereinkommen</w:t>
      </w:r>
    </w:p>
    <w:p>
      <w:r>
        <w:rPr>
          <w:rFonts w:ascii="Courier New" w:hAnsi="Courier New"/>
          <w:sz w:val="17"/>
        </w:rPr>
        <w:t xml:space="preserve">§ 19    Besondere Regelungen zum Europäischen Sorgerechtsübereinkommen</w:t>
      </w:r>
    </w:p>
    <w:p>
      <w:r>
        <w:rPr>
          <w:rFonts w:ascii="Courier New" w:hAnsi="Courier New"/>
          <w:sz w:val="17"/>
        </w:rPr>
        <w:t xml:space="preserve">§ 20    Entscheidung</w:t>
      </w:r>
    </w:p>
    <w:p>
      <w:r>
        <w:rPr>
          <w:rFonts w:ascii="Courier New" w:hAnsi="Courier New"/>
          <w:sz w:val="17"/>
        </w:rPr>
        <w:t xml:space="preserve">§ 21    Bekanntmachung der Entscheidung</w:t>
      </w:r>
    </w:p>
    <w:p>
      <w:r>
        <w:rPr>
          <w:rFonts w:ascii="Courier New" w:hAnsi="Courier New"/>
          <w:sz w:val="17"/>
        </w:rPr>
        <w:t xml:space="preserve">§ 22    Wirksamwerden der Entscheidung</w:t>
      </w:r>
    </w:p>
    <w:p>
      <w:r>
        <w:rPr>
          <w:rFonts w:ascii="Courier New" w:hAnsi="Courier New"/>
          <w:sz w:val="17"/>
        </w:rPr>
        <w:t xml:space="preserve">§ 23    Vollstreckungsklausel</w:t>
      </w:r>
    </w:p>
    <w:p>
      <w:r>
        <w:t xml:space="preserve">Unterabschnitt 2Beschwerde</w:t>
      </w:r>
    </w:p>
    <w:p>
      <w:r>
        <w:rPr>
          <w:rFonts w:ascii="Courier New" w:hAnsi="Courier New"/>
          <w:sz w:val="17"/>
        </w:rPr>
        <w:t xml:space="preserve">§ 24    Einlegung der Beschwerde; Beschwerdefrist</w:t>
      </w:r>
    </w:p>
    <w:p>
      <w:r>
        <w:rPr>
          <w:rFonts w:ascii="Courier New" w:hAnsi="Courier New"/>
          <w:sz w:val="17"/>
        </w:rPr>
        <w:t xml:space="preserve">§ 25    Einwendungen gegen den zu vollstreckenden Anspruch</w:t>
      </w:r>
    </w:p>
    <w:p>
      <w:r>
        <w:rPr>
          <w:rFonts w:ascii="Courier New" w:hAnsi="Courier New"/>
          <w:sz w:val="17"/>
        </w:rPr>
        <w:t xml:space="preserve">§ 26    Verfahren und Entscheidung über die Beschwerde</w:t>
      </w:r>
    </w:p>
    <w:p>
      <w:r>
        <w:rPr>
          <w:rFonts w:ascii="Courier New" w:hAnsi="Courier New"/>
          <w:sz w:val="17"/>
        </w:rPr>
        <w:t xml:space="preserve">§ 27    Anordnung der sofortigen Wirksamkeit</w:t>
      </w:r>
    </w:p>
    <w:p>
      <w:r>
        <w:t xml:space="preserve">Unterabschnitt 3Rechtsbeschwerde</w:t>
      </w:r>
    </w:p>
    <w:p>
      <w:r>
        <w:rPr>
          <w:rFonts w:ascii="Courier New" w:hAnsi="Courier New"/>
          <w:sz w:val="17"/>
        </w:rPr>
        <w:t xml:space="preserve">§ 28    Statthaftigkeit der Rechtsbeschwerde</w:t>
      </w:r>
    </w:p>
    <w:p>
      <w:r>
        <w:rPr>
          <w:rFonts w:ascii="Courier New" w:hAnsi="Courier New"/>
          <w:sz w:val="17"/>
        </w:rPr>
        <w:t xml:space="preserve">§ 29    Einlegung und Begründung der Rechtsbeschwerde</w:t>
      </w:r>
    </w:p>
    <w:p>
      <w:r>
        <w:rPr>
          <w:rFonts w:ascii="Courier New" w:hAnsi="Courier New"/>
          <w:sz w:val="17"/>
        </w:rPr>
        <w:t xml:space="preserve">§ 30    Verfahren und Entscheidung über die Rechtsbeschwerde</w:t>
      </w:r>
    </w:p>
    <w:p>
      <w:r>
        <w:rPr>
          <w:rFonts w:ascii="Courier New" w:hAnsi="Courier New"/>
          <w:sz w:val="17"/>
        </w:rPr>
        <w:t xml:space="preserve">§ 31    Anordnung der sofortigen Wirksamkeit</w:t>
      </w:r>
    </w:p>
    <w:p>
      <w:r>
        <w:t xml:space="preserve">Unterabschnitt 4Feststellung der Anerkennung</w:t>
      </w:r>
    </w:p>
    <w:p>
      <w:r>
        <w:rPr>
          <w:rFonts w:ascii="Courier New" w:hAnsi="Courier New"/>
          <w:sz w:val="17"/>
        </w:rPr>
        <w:t xml:space="preserve">§ 32    Anerkennungsfeststellung</w:t>
      </w:r>
    </w:p>
    <w:p>
      <w:r>
        <w:t xml:space="preserve">Unterabschnitt 5Wiederherstellung des Sorgeverhältnisses</w:t>
      </w:r>
    </w:p>
    <w:p>
      <w:r>
        <w:rPr>
          <w:rFonts w:ascii="Courier New" w:hAnsi="Courier New"/>
          <w:sz w:val="17"/>
        </w:rPr>
        <w:t xml:space="preserve">§ 33    Anordnung auf Herausgabe des Kindes</w:t>
      </w:r>
    </w:p>
    <w:p>
      <w:r>
        <w:t xml:space="preserve">Unterabschnitt 6Aufhebung oder Änderung von Beschlüssen</w:t>
      </w:r>
    </w:p>
    <w:p>
      <w:r>
        <w:rPr>
          <w:rFonts w:ascii="Courier New" w:hAnsi="Courier New"/>
          <w:sz w:val="17"/>
        </w:rPr>
        <w:t xml:space="preserve">§ 34    Verfahren auf Aufhebung oder Änderung</w:t>
      </w:r>
    </w:p>
    <w:p>
      <w:r>
        <w:rPr>
          <w:rFonts w:ascii="Courier New" w:hAnsi="Courier New"/>
          <w:sz w:val="17"/>
        </w:rPr>
        <w:t xml:space="preserve">§ 35    Schadensersatz wegen ungerechtfertigter Vollstreckung aus Titeln über die Erstattung von Verfahrenskosten</w:t>
      </w:r>
    </w:p>
    <w:p>
      <w:r>
        <w:t xml:space="preserve">Unterabschnitt 7Vollstreckungsabwehrklage</w:t>
      </w:r>
    </w:p>
    <w:p>
      <w:r>
        <w:rPr>
          <w:rFonts w:ascii="Courier New" w:hAnsi="Courier New"/>
          <w:sz w:val="17"/>
        </w:rPr>
        <w:t xml:space="preserve">§ 36    Vollstreckungsabwehrklage bei Titeln über die Erstattung von Verfahrenskosten</w:t>
      </w:r>
    </w:p>
    <w:p>
      <w:r>
        <w:t xml:space="preserve">Abschnitt 6Verfahren nach dem Haager Kindesentführungsübereinkommen</w:t>
      </w:r>
    </w:p>
    <w:p>
      <w:r>
        <w:rPr>
          <w:rFonts w:ascii="Courier New" w:hAnsi="Courier New"/>
          <w:sz w:val="17"/>
        </w:rPr>
        <w:t xml:space="preserve">§ 37    Anwendbarkeit</w:t>
      </w:r>
    </w:p>
    <w:p>
      <w:r>
        <w:rPr>
          <w:rFonts w:ascii="Courier New" w:hAnsi="Courier New"/>
          <w:sz w:val="17"/>
        </w:rPr>
        <w:t xml:space="preserve">§ 38    Besondere Verfahrensvorschriften</w:t>
      </w:r>
    </w:p>
    <w:p>
      <w:r>
        <w:rPr>
          <w:rFonts w:ascii="Courier New" w:hAnsi="Courier New"/>
          <w:sz w:val="17"/>
        </w:rPr>
        <w:t xml:space="preserve">§ 39    Ausstellung von Bescheinigungen nach Artikel 29 Absatz 2 der Verordnung (EU) 2019/1111 und Übersendung von Unterlagen</w:t>
      </w:r>
    </w:p>
    <w:p>
      <w:r>
        <w:rPr>
          <w:rFonts w:ascii="Courier New" w:hAnsi="Courier New"/>
          <w:sz w:val="17"/>
        </w:rPr>
        <w:t xml:space="preserve">§ 40    Wirksamkeit der Entscheidung; Rechtsmittel</w:t>
      </w:r>
    </w:p>
    <w:p>
      <w:r>
        <w:rPr>
          <w:rFonts w:ascii="Courier New" w:hAnsi="Courier New"/>
          <w:sz w:val="17"/>
        </w:rPr>
        <w:t xml:space="preserve">§ 41    Bescheinigung über Widerrechtlichkeit</w:t>
      </w:r>
    </w:p>
    <w:p>
      <w:r>
        <w:rPr>
          <w:rFonts w:ascii="Courier New" w:hAnsi="Courier New"/>
          <w:sz w:val="17"/>
        </w:rPr>
        <w:t xml:space="preserve">§ 42    Einreichung von Anträgen bei dem Amtsgericht</w:t>
      </w:r>
    </w:p>
    <w:p>
      <w:r>
        <w:rPr>
          <w:rFonts w:ascii="Courier New" w:hAnsi="Courier New"/>
          <w:sz w:val="17"/>
        </w:rPr>
        <w:t xml:space="preserve">§ 43    Verfahrenskosten- und Beratungshilfe</w:t>
      </w:r>
    </w:p>
    <w:p>
      <w:r>
        <w:t xml:space="preserve">Abschnitt 7VollstreckungUnterabschnitt 1Besondere Vorschriften zur Vollstreckung von Titeln über die Herausgabe und Rückgabe von Personen und die Regelung des Umgangs</w:t>
      </w:r>
    </w:p>
    <w:p>
      <w:r>
        <w:rPr>
          <w:rFonts w:ascii="Courier New" w:hAnsi="Courier New"/>
          <w:sz w:val="17"/>
        </w:rPr>
        <w:t xml:space="preserve">§ 44    Ordnungsmittel; Vollstreckung von Amts wegen</w:t>
      </w:r>
    </w:p>
    <w:p>
      <w:r>
        <w:t xml:space="preserve">Unterabschnitt 2Besondere Vorschriften zur Vollstreckung von Titeln nach Kapitel IV der Verordnung (EU) 2019/1111</w:t>
      </w:r>
    </w:p>
    <w:p>
      <w:r>
        <w:rPr>
          <w:rFonts w:ascii="Courier New" w:hAnsi="Courier New"/>
          <w:sz w:val="17"/>
        </w:rPr>
        <w:t xml:space="preserve">§ 44a    Allgemeine Verfahrensvorschriften</w:t>
      </w:r>
    </w:p>
    <w:p>
      <w:r>
        <w:rPr>
          <w:rFonts w:ascii="Courier New" w:hAnsi="Courier New"/>
          <w:sz w:val="17"/>
        </w:rPr>
        <w:t xml:space="preserve">§ 44b    Verfahren auf Versagung der Vollstreckung nach Artikel 59 der Verordnung (EU) 2019/1111</w:t>
      </w:r>
    </w:p>
    <w:p>
      <w:r>
        <w:rPr>
          <w:rFonts w:ascii="Courier New" w:hAnsi="Courier New"/>
          <w:sz w:val="17"/>
        </w:rPr>
        <w:t xml:space="preserve">§ 44c    Entscheidung über die Versagung der Vollstreckung und Bekanntmachung der Entscheidung</w:t>
      </w:r>
    </w:p>
    <w:p>
      <w:r>
        <w:rPr>
          <w:rFonts w:ascii="Courier New" w:hAnsi="Courier New"/>
          <w:sz w:val="17"/>
        </w:rPr>
        <w:t xml:space="preserve">§ 44d    Sofortige Beschwerde</w:t>
      </w:r>
    </w:p>
    <w:p>
      <w:r>
        <w:rPr>
          <w:rFonts w:ascii="Courier New" w:hAnsi="Courier New"/>
          <w:sz w:val="17"/>
        </w:rPr>
        <w:t xml:space="preserve">§ 44e    Rechtsbeschwerde</w:t>
      </w:r>
    </w:p>
    <w:p>
      <w:r>
        <w:rPr>
          <w:rFonts w:ascii="Courier New" w:hAnsi="Courier New"/>
          <w:sz w:val="17"/>
        </w:rPr>
        <w:t xml:space="preserve">§ 44f    Aussetzung der Vollstreckung nach Artikel 56 Absatz 1, 2 und 4 der Verordnung (EU) 2019/1111</w:t>
      </w:r>
    </w:p>
    <w:p>
      <w:r>
        <w:rPr>
          <w:rFonts w:ascii="Courier New" w:hAnsi="Courier New"/>
          <w:sz w:val="17"/>
        </w:rPr>
        <w:t xml:space="preserve">§ 44g    Einstellung der Zwangsvollstreckung</w:t>
      </w:r>
    </w:p>
    <w:p>
      <w:r>
        <w:rPr>
          <w:rFonts w:ascii="Courier New" w:hAnsi="Courier New"/>
          <w:sz w:val="17"/>
        </w:rPr>
        <w:t xml:space="preserve">§ 44h    Schadensersatz wegen ungerechtfertigter Vollstreckung aus Titeln über die Erstattung von Verfahrenskosten</w:t>
      </w:r>
    </w:p>
    <w:p>
      <w:r>
        <w:rPr>
          <w:rFonts w:ascii="Courier New" w:hAnsi="Courier New"/>
          <w:sz w:val="17"/>
        </w:rPr>
        <w:t xml:space="preserve">§ 44i    Vollstreckungsabwehrklage bei Titeln über die Erstattung von Verfahrenskosten</w:t>
      </w:r>
    </w:p>
    <w:p>
      <w:r>
        <w:rPr>
          <w:rFonts w:ascii="Courier New" w:hAnsi="Courier New"/>
          <w:sz w:val="17"/>
        </w:rPr>
        <w:t xml:space="preserve">§ 44j    Verfahren auf Feststellung des Nichtvorliegens von Anerkennungsversagungsgründen und auf Versagung der Anerkennung</w:t>
      </w:r>
    </w:p>
    <w:p>
      <w:r>
        <w:t xml:space="preserve">Abschnitt 8Grenzüberschreitende Unterbringung</w:t>
      </w:r>
    </w:p>
    <w:p>
      <w:r>
        <w:rPr>
          <w:rFonts w:ascii="Courier New" w:hAnsi="Courier New"/>
          <w:sz w:val="17"/>
        </w:rPr>
        <w:t xml:space="preserve">§ 45    Zuständigkeit für die Zustimmung zu einer Unterbringung</w:t>
      </w:r>
    </w:p>
    <w:p>
      <w:r>
        <w:rPr>
          <w:rFonts w:ascii="Courier New" w:hAnsi="Courier New"/>
          <w:sz w:val="17"/>
        </w:rPr>
        <w:t xml:space="preserve">§ 46    Konsultationsverfahren</w:t>
      </w:r>
    </w:p>
    <w:p>
      <w:r>
        <w:rPr>
          <w:rFonts w:ascii="Courier New" w:hAnsi="Courier New"/>
          <w:sz w:val="17"/>
        </w:rPr>
        <w:t xml:space="preserve">§ 47    Genehmigung des Familiengerichts</w:t>
      </w:r>
    </w:p>
    <w:p>
      <w:r>
        <w:t xml:space="preserve">Abschnitt 9Bescheinigungen zu inländischen Entscheidungen nach Kapitel IV der Verordnung (EU) 2019/1111</w:t>
      </w:r>
    </w:p>
    <w:p>
      <w:r>
        <w:rPr>
          <w:rFonts w:ascii="Courier New" w:hAnsi="Courier New"/>
          <w:sz w:val="17"/>
        </w:rPr>
        <w:t xml:space="preserve">§ 48    Ausstellung von Bescheinigungen</w:t>
      </w:r>
    </w:p>
    <w:p>
      <w:r>
        <w:rPr>
          <w:rFonts w:ascii="Courier New" w:hAnsi="Courier New"/>
          <w:sz w:val="17"/>
        </w:rPr>
        <w:t xml:space="preserve">§ 49    Berichtigung von Bescheinigungen</w:t>
      </w:r>
    </w:p>
    <w:p>
      <w:r>
        <w:rPr>
          <w:rFonts w:ascii="Courier New" w:hAnsi="Courier New"/>
          <w:sz w:val="17"/>
        </w:rPr>
        <w:t xml:space="preserve">§ 50    Widerruf von Bescheinigungen</w:t>
      </w:r>
    </w:p>
    <w:p>
      <w:r>
        <w:t xml:space="preserve">Abschnitt 10Verfahren nach dem Europäischen Adoptionsübereinkommen</w:t>
      </w:r>
    </w:p>
    <w:p>
      <w:r>
        <w:rPr>
          <w:rFonts w:ascii="Courier New" w:hAnsi="Courier New"/>
          <w:sz w:val="17"/>
        </w:rPr>
        <w:t xml:space="preserve">§ 51    Verfahren der nationalen Behörde</w:t>
      </w:r>
    </w:p>
    <w:p>
      <w:r>
        <w:t xml:space="preserve">Abschnitt 11Kosten</w:t>
      </w:r>
    </w:p>
    <w:p>
      <w:r>
        <w:rPr>
          <w:rFonts w:ascii="Courier New" w:hAnsi="Courier New"/>
          <w:sz w:val="17"/>
        </w:rPr>
        <w:t xml:space="preserve">§§ 52und 53    (weggefallen)</w:t>
      </w:r>
    </w:p>
    <w:p>
      <w:r>
        <w:rPr>
          <w:rFonts w:ascii="Courier New" w:hAnsi="Courier New"/>
          <w:sz w:val="17"/>
        </w:rPr>
        <w:t xml:space="preserve">§ 54    Übersetzungen</w:t>
      </w:r>
    </w:p>
    <w:p>
      <w:r>
        <w:t xml:space="preserve">Abschnitt 12Übergangsvorschriften</w:t>
      </w:r>
    </w:p>
    <w:p>
      <w:r>
        <w:rPr>
          <w:rFonts w:ascii="Courier New" w:hAnsi="Courier New"/>
          <w:sz w:val="17"/>
        </w:rPr>
        <w:t xml:space="preserve">§ 55    Übergangsvorschriften zur Verordnung (EU) 2019/1111</w:t>
      </w:r>
    </w:p>
    <w:p>
      <w:r>
        <w:rPr>
          <w:color w:val="555555"/>
          <w:sz w:val="17"/>
        </w:rPr>
        <w:t xml:space="preserve">Zitiervorschlag: Inhaltsübersicht IntFamRVG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https://recht.nulegal.eu/gesetze/IntFamRVG/inhaltsuebersicht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