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IntFamRVG — Mitwirkung des Jugendamts an Verfahren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Unbeschadet der Aufgaben des Jugendamts bei der grenzüberschreitenden Zusammenarbeit unterstützt das Jugendamt die Gerichte und die Zentrale Behörde bei allen Maßnahmen nach diesem Gesetz. Insbesondere</w:t>
      </w:r>
    </w:p>
    <w:p>
      <w:pPr>
        <w:ind w:left="420"/>
      </w:pPr>
      <w:r>
        <w:t xml:space="preserve">1. gibt es auf Anfrage Auskunft über die soziale Lage des Kindes und seines Umfelds,</w:t>
      </w:r>
    </w:p>
    <w:p>
      <w:pPr>
        <w:ind w:left="420"/>
      </w:pPr>
      <w:r>
        <w:t xml:space="preserve">2. unterstützt es in jeder Lage eine gütliche Einigung,</w:t>
      </w:r>
    </w:p>
    <w:p>
      <w:pPr>
        <w:ind w:left="420"/>
      </w:pPr>
      <w:r>
        <w:t xml:space="preserve">3. leistet es in geeigneten Fällen Unterstützung bei der Durchführung des Verfahrens, auch bei der Sicherung des Aufenthalts des Kindes,</w:t>
      </w:r>
    </w:p>
    <w:p>
      <w:pPr>
        <w:ind w:left="420"/>
      </w:pPr>
      <w:r>
        <w:t xml:space="preserve">4. leistet es in geeigneten Fällen Unterstützung bei der Ausübung des Rechts zum persönlichen Umgang, der Heraus- oder Rückgabe des Kindes sowie der Vollstreckung gerichtlicher Entscheidungen.</w:t>
      </w:r>
    </w:p>
    <w:p>
      <w:r>
        <w:t xml:space="preserve">(2) Zuständig ist das Jugendamt, in dessen Bereich sich das Kind gewöhnlich aufhält. Solange die Zentrale Behörde oder ein Gericht mit einem Herausgabe- oder Rückgabeantrag oder dessen Vollstreckung befasst ist, oder wenn das Kind keinen gewöhnlichen Aufenthalt im Inland hat, oder das zuständige Jugendamt nicht tätig wird, ist das Jugendamt zuständig, in dessen Bereich sich das Kind tatsächlich aufhält. In den Fällen des Artikels 35 Absatz 2 Satz 1 des Haager Kinderschutzübereinkommens ist das Jugendamt örtlich zuständig, in dessen Bezirk der antragstellende Elternteil seinen gewöhnlichen Aufenthalt hat.</w:t>
      </w:r>
    </w:p>
    <w:p>
      <w:r>
        <w:t xml:space="preserve">(3) Das Gericht unterrichtet das zuständige Jugendamt über Entscheidungen nach diesem Gesetz auch dann, wenn das Jugendamt am Verfahren nicht beteiligt war.</w:t>
      </w:r>
    </w:p>
    <w:p>
      <w:r>
        <w:rPr>
          <w:color w:val="555555"/>
          <w:sz w:val="17"/>
        </w:rPr>
        <w:t xml:space="preserve">Zitiervorschlag: § 9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