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IntFamRVG — Anrufung des Oberlandesgerichts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Nimmt die Zentrale Behörde einen Antrag nicht an oder lehnt sie es ab, tätig zu werden, so kann die Entscheidung des Oberlandesgerichts beantragt werden.</w:t>
      </w:r>
    </w:p>
    <w:p>
      <w:r>
        <w:t xml:space="preserve">(2) Zuständig ist das Oberlandesgericht, in dessen Bezirk die Zentrale Behörde ihren Sitz hat.</w:t>
      </w:r>
    </w:p>
    <w:p>
      <w:r>
        <w:t xml:space="preserve">(3) Das Oberlandesgericht entscheidet im Verfahren der freiwilligen Gerichtsbarkeit. § 14 Absatz 1 und 2 sowie die Abschnitte 4 und 5 des Buches 1 des Gesetzes über das Verfahren in Familiensachen und in den Angelegenheiten der freiwilligen Gerichtsbarkeit gelten entsprechend.</w:t>
      </w:r>
    </w:p>
    <w:p>
      <w:r>
        <w:rPr>
          <w:color w:val="555555"/>
          <w:sz w:val="17"/>
        </w:rPr>
        <w:t xml:space="preserve">Zitiervorschlag: § 8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