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IntFamRVG — Übergangsvorschriften zum Sorgerechtsübereinkommens-Ausführungsgesetz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Außer Kraft: § 56 ist seit 01.08.2022 nicht mehr im IntFamRVG enthalten. Angezeigt wird die letzte bekannte Fassung, Stand 10.06.2019.</w:t>
      </w:r>
    </w:p>
    <w:p>
      <w:r>
        <w:t xml:space="preserve">Für Verfahren nach dem Haager Kindesentführungsübereinkommen und dem Europäischen Sorgerechtsübereinkommen, die vor Inkrafttreten dieses Gesetzes eingeleitet wurden, finden die Vorschriften des Sorgerechtsübereinkommens-Ausführungsgesetzes vom 5. April 1990 (BGBl. I S. 701), zuletzt geändert durch Artikel 2 Abs. 6 des Gesetzes vom 19. Februar 2001 (BGBl. I S. 288, 436), weiter Anwendung. Für die Zwangsvollstreckung sind jedoch die Vorschriften dieses Gesetzes anzuwenden. Hat ein Gericht die Zwangsvollstreckung bereits eingeleitet, so bleibt seine funktionelle Zuständigkeit unberührt.</w:t>
      </w:r>
    </w:p>
    <w:p>
      <w:r>
        <w:rPr>
          <w:color w:val="555555"/>
          <w:sz w:val="17"/>
        </w:rPr>
        <w:t xml:space="preserve">Zitiervorschlag: § 56 IntFamRVG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