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IntFamRVG — Widerruf von Bescheinigungen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(1) Über den Widerruf einer Bescheinigung nach Artikel 47 der Verordnung (EU) 2019/1111 (Artikel 48 der Verordnung (EU) 2019/1111) entscheidet das Gericht, das die Bescheinigung ausgestellt hat.</w:t>
      </w:r>
    </w:p>
    <w:p>
      <w:r>
        <w:t xml:space="preserve">(2) § 319 Absatz 2 und 3 der Zivilprozessordnung ist auf den Widerruf entsprechend anzuwenden.</w:t>
      </w:r>
    </w:p>
    <w:p>
      <w:r>
        <w:rPr>
          <w:color w:val="555555"/>
          <w:sz w:val="17"/>
        </w:rPr>
        <w:t xml:space="preserve">Zitiervorschlag: § 50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