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IntFamRVG — Berichtigung von Bescheinigungen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Stand: 06.02.2024 (konsolidierte Textfassung, kein amtliches Inkrafttretensdatum)</w:t>
      </w:r>
    </w:p>
    <w:p>
      <w:r>
        <w:t xml:space="preserve">Für die Berichtigung einer Bescheinigung nach Artikel 36 der Verordnung (EU) 2019/1111 (Artikel 37 der Verordnung (EU) 2019/1111) und für die Berichtigung einer Bescheinigung nach Artikel 47 der Verordnung (EU) 2019/1111 (Artikel 48 Absatz 1 und 3 der Verordnung (EU) 2019/1111) gilt § 319 der Zivilprozessordnung entsprechend.</w:t>
      </w:r>
    </w:p>
    <w:p>
      <w:r>
        <w:rPr>
          <w:color w:val="555555"/>
          <w:sz w:val="17"/>
        </w:rPr>
        <w:t xml:space="preserve">Zitiervorschlag: § 49 IntFamRVG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