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IntFamRVG — Ausstellung von Bescheinigungen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Bescheinigungen nach Artikel 36 Absatz 1 der Verordnung (EU) 2019/1111 werden von dem Gericht ausgestellt, das die Entscheidung erlassen hat. Bescheinigungen nach Artikel 49 Absatz 1 der Verordnung (EU) 2019/1111 werden von dem Gericht ausgestellt, das die Vollstreckbarkeit der Entscheidung ausgesetzt oder eingeschränkt hat.</w:t>
      </w:r>
    </w:p>
    <w:p>
      <w:r>
        <w:t xml:space="preserve">(2) Bescheinigungen nach Artikel 36 Absatz 1, Artikel 47 Absatz 1 und Artikel 49 Absatz 1 der Verordnung (EU) 2019/1111 werden beim Gericht des ersten Rechtszugs von dem Familienrichter, bei einem höheren Gericht von dem Vorsitzenden des zuständigen Senats für Familiensachen ausgestellt. Die Bescheinigungen sind ohne Anhörung des Antragsgegners auszustellen.</w:t>
      </w:r>
    </w:p>
    <w:p>
      <w:r>
        <w:t xml:space="preserve">(3) Eine Ausfertigung der Bescheinigung nach Artikel 36 Absatz 1 und Artikel 47 Absatz 1 der Verordnung (EU) 2019/1111 ist dem Antragsgegner zuzustellen. Die Zustellung erfolgt von Amts wegen. Das gilt nicht, wenn die antragstellende Person Übermittlung an sich zur Zustellung im Parteibetrieb beantragt hat.</w:t>
      </w:r>
    </w:p>
    <w:p>
      <w:r>
        <w:t xml:space="preserve">(4) Die Entscheidung des Familienrichters, mit der ein Antrag auf Ausstellung einer Bescheinigung nach Artikel 36 Absatz 1 oder nach Artikel 47 Absatz 1 der Verordnung (EU) 2019/1111 zurückgewiesen wird, ist mit der sofortigen Beschwerde in entsprechender Anwendung der §§ 567 bis 572 der Zivilprozessordnung anfechtbar. Eine Rechtsbeschwerde findet nicht statt.</w:t>
      </w:r>
    </w:p>
    <w:p>
      <w:r>
        <w:rPr>
          <w:color w:val="555555"/>
          <w:sz w:val="17"/>
        </w:rPr>
        <w:t xml:space="preserve">Zitiervorschlag: § 48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