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IntFamRVG — Genehmigung des Familiengerichts</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(1) Die Zustimmung des überörtlichen Trägers der öffentlichen Jugendhilfe nach den §§ 45 und 46 ist nur mit Genehmigung des Familiengerichts zulässig. Das Gericht soll die Genehmigung in der Regel erteilen, wenn</w:t>
      </w:r>
    </w:p>
    <w:p>
      <w:pPr>
        <w:ind w:left="420"/>
      </w:pPr>
      <w:r>
        <w:t xml:space="preserve">1. die in § 46 Absatz 1 Nummer 1 bis 3 bezeichneten Voraussetzungen vorliegen und</w:t>
      </w:r>
    </w:p>
    <w:p>
      <w:pPr>
        <w:ind w:left="420"/>
      </w:pPr>
      <w:r>
        <w:t xml:space="preserve">2. kein Hindernis für die Anerkennung der beabsichtigten Unterbringung erkennbar ist.</w:t>
      </w:r>
    </w:p>
    <w:p>
      <w:r>
        <w:t xml:space="preserve">§ 46 Absatz 2 und 3 gilt entsprechend.</w:t>
      </w:r>
    </w:p>
    <w:p>
      <w:r>
        <w:t xml:space="preserve">(2) Örtlich zuständig ist das Familiengericht, in dessen Bezirk das Oberlandesgericht, in dessen Bezirk das Kind untergebracht werden soll, seinen Sitz hat. § 12 Absatz 2 und 3 gilt entsprechend.</w:t>
      </w:r>
    </w:p>
    <w:p>
      <w:r>
        <w:t xml:space="preserve">(3) Der zu begründende Beschluss ist unanfechtbar.</w:t>
      </w:r>
    </w:p>
    <w:p>
      <w:r>
        <w:rPr>
          <w:color w:val="555555"/>
          <w:sz w:val="17"/>
        </w:rPr>
        <w:t xml:space="preserve">Zitiervorschlag: § 47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