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IntFamRVG — Konsultationsverfahren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(1) Dem Ersuchen soll in der Regel zugestimmt werden, wenn</w:t>
      </w:r>
    </w:p>
    <w:p>
      <w:pPr>
        <w:ind w:left="420"/>
      </w:pPr>
      <w:r>
        <w:t xml:space="preserve">1. die Durchführung der beabsichtigten Unterbringung im Inland dem Wohl des Kindes entspricht, insbesondere weil es eine besondere Bindung zum Inland hat,</w:t>
      </w:r>
    </w:p>
    <w:p>
      <w:pPr>
        <w:ind w:left="420"/>
      </w:pPr>
      <w:r>
        <w:t xml:space="preserve">2. die ausländische Stelle einen Bericht und, soweit erforderlich, ärztliche Zeugnisse oder Gutachten vorgelegt hat, aus denen sich die Gründe der beabsichtigten Unterbringung ergeben,</w:t>
      </w:r>
    </w:p>
    <w:p>
      <w:pPr>
        <w:ind w:left="420"/>
      </w:pPr>
      <w:r>
        <w:t xml:space="preserve">3. das Kind im ausländischen Verfahren angehört wurde, sofern eine Anhörung nicht auf Grund des Alters oder des Reifegrades des Kindes unangebracht erschien,</w:t>
      </w:r>
    </w:p>
    <w:p>
      <w:pPr>
        <w:ind w:left="420"/>
      </w:pPr>
      <w:r>
        <w:t xml:space="preserve">4. die Zustimmung der geeigneten Einrichtung oder Pflegefamilie vorliegt und der Vermittlung des Kindes dorthin keine Gründe entgegenstehen,</w:t>
      </w:r>
    </w:p>
    <w:p>
      <w:pPr>
        <w:ind w:left="420"/>
      </w:pPr>
      <w:r>
        <w:t xml:space="preserve">5. eine erforderliche ausländerrechtliche Genehmigung erteilt oder zugesagt wurde,</w:t>
      </w:r>
    </w:p>
    <w:p>
      <w:pPr>
        <w:ind w:left="420"/>
      </w:pPr>
      <w:r>
        <w:t xml:space="preserve">6. die Übernahme der Kosten geregelt ist.</w:t>
      </w:r>
    </w:p>
    <w:p>
      <w:r>
        <w:t xml:space="preserve">(2) Im Falle einer Unterbringung, die mit Freiheitsentziehung verbunden ist, ist das Ersuchen ungeachtet der Voraussetzungen des Absatzes 1 abzulehnen, wenn</w:t>
      </w:r>
    </w:p>
    <w:p>
      <w:pPr>
        <w:ind w:left="420"/>
      </w:pPr>
      <w:r>
        <w:t xml:space="preserve">1. im ersuchenden Staat über die Unterbringung kein Gericht entscheidet oder</w:t>
      </w:r>
    </w:p>
    <w:p>
      <w:pPr>
        <w:ind w:left="420"/>
      </w:pPr>
      <w:r>
        <w:t xml:space="preserve">2. bei Zugrundelegung des mitgeteilten Sachverhalts nach innerstaatlichem Recht eine Unterbringung, die mit Freiheitsentziehung verbunden ist, nicht zulässig wäre.</w:t>
      </w:r>
    </w:p>
    <w:p>
      <w:r>
        <w:t xml:space="preserve">(3) Die ausländische Stelle kann um ergänzende Informationen ersucht werden.</w:t>
      </w:r>
    </w:p>
    <w:p>
      <w:r>
        <w:t xml:space="preserve">(4) Wird um die Unterbringung eines ausländischen Kindes ersucht, ist die Stellungnahme der Ausländerbehörde einzuholen.</w:t>
      </w:r>
    </w:p>
    <w:p>
      <w:r>
        <w:t xml:space="preserve">(5) Die zu begründende Entscheidung ist auch der Zentralen Behörde und der Einrichtung oder der Pflegefamilie, in der das Kind untergebracht werden soll, mitzuteilen. Sie ist unanfechtbar.</w:t>
      </w:r>
    </w:p>
    <w:p>
      <w:r>
        <w:rPr>
          <w:color w:val="555555"/>
          <w:sz w:val="17"/>
        </w:rPr>
        <w:t xml:space="preserve">Zitiervorschlag: § 46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