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44i IntFamRVG — Vollstreckungsabwehrklage bei Titeln über die Erstattung von Verfahrenskosten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Die aus einem Titel über die Erstattung von Verfahrenskosten verpflichtete Person kann Einwendungen gegen den Anspruch selbst im Wege einer Klage entsprechend § 767 der Zivilprozessordnung insoweit geltend machen, als die Gründe, auf denen sie beruhen, erst nach Erlass des Titels entstanden sind.</w:t>
      </w:r>
    </w:p>
    <w:p>
      <w:r>
        <w:t xml:space="preserve">(2) Für die Klage nach Absatz 1 ist das Gericht ausschließlich zuständig, das im ersten Rechtszug über den Antrag auf Versagung der Vollstreckung entschieden hat oder über einen solchen Antrag zu entscheiden hätte.</w:t>
      </w:r>
    </w:p>
    <w:p>
      <w:r>
        <w:rPr>
          <w:color w:val="555555"/>
          <w:sz w:val="17"/>
        </w:rPr>
        <w:t xml:space="preserve">Zitiervorschlag: § 44i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https://recht.nulegal.eu/gesetze/IntFamRVG/44i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