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44h IntFamRVG — Schadensersatz wegen ungerechtfertigter Vollstreckung aus Titeln über die Erstattung von Verfahrenskosten</w:t>
      </w:r>
    </w:p>
    <w:p>
      <w:r>
        <w:rPr>
          <w:color w:val="555555"/>
          <w:sz w:val="18"/>
        </w:rPr>
        <w:t xml:space="preserve">Internationales Familienrechtsverfahrensgesetz</w:t>
      </w:r>
    </w:p>
    <w:p>
      <w:r>
        <w:rPr>
          <w:color w:val="555555"/>
          <w:sz w:val="18"/>
        </w:rPr>
        <w:t xml:space="preserve">Stand: 06.02.2024 (konsolidierte Textfassung, kein amtliches Inkrafttretensdatum)</w:t>
      </w:r>
    </w:p>
    <w:p>
      <w:r>
        <w:t xml:space="preserve">(1) Wird ein Titel über die Erstattung von Verfahrenskosten in dem Mitgliedstaat, in dem er geschaffen wurde, aufgehoben oder abgeändert, so ist die berechtigte Person zum Ersatz des Schadens verpflichtet, welcher der verpflichteten Person durch die Vollstreckung des Titels oder durch eine Leistung zur Abwendung der Vollstreckung entstanden ist, sofern der Titel zum Zeitpunkt der Zwangsvollstreckungsmaßnahme noch mit einem ordentlichen Rechtsbehelf angefochten werden konnte.</w:t>
      </w:r>
    </w:p>
    <w:p>
      <w:r>
        <w:t xml:space="preserve">(2) Für den Antrag, mit dem ein Anspruch nach Absatz 1 geltend gemacht wird, ist das Gericht ausschließlich zuständig, das im ersten Rechtszug über den Antrag auf Versagung der Vollstreckung entschieden hat oder über einen solchen Antrag zu entscheiden hätte. Es entscheidet nach den für sonstige Familiensachen im Sinne des § 266 Absatz 1 des Gesetzes über das Verfahren in Familiensachen und in den Angelegenheiten der freiwilligen Gerichtsbarkeit geltenden Vorschriften.</w:t>
      </w:r>
    </w:p>
    <w:p>
      <w:r>
        <w:rPr>
          <w:color w:val="555555"/>
          <w:sz w:val="17"/>
        </w:rPr>
        <w:t xml:space="preserve">Zitiervorschlag: § 44h IntFamRVG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https://recht.nulegal.eu/gesetze/IntFamRVG/44h</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