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44g IntFamRVG — Einstellung der Zwangsvollstreckung</w:t>
      </w:r>
    </w:p>
    <w:p>
      <w:r>
        <w:rPr>
          <w:color w:val="555555"/>
          <w:sz w:val="18"/>
        </w:rPr>
        <w:t xml:space="preserve">Internationales Familienrechtsverfahrensgesetz</w:t>
      </w:r>
    </w:p>
    <w:p>
      <w:r>
        <w:rPr>
          <w:color w:val="555555"/>
          <w:sz w:val="18"/>
        </w:rPr>
        <w:t xml:space="preserve">Stand: 06.02.2024 (konsolidierte Textfassung, kein amtliches Inkrafttretensdatum)</w:t>
      </w:r>
    </w:p>
    <w:p>
      <w:r>
        <w:t xml:space="preserve">(1) Die Zwangsvollstreckung ist einzustellen, wenn die Ausfertigung einer rechtskräftigen Entscheidung vorgelegt wird, aus der sich ergibt, dass</w:t>
      </w:r>
    </w:p>
    <w:p>
      <w:pPr>
        <w:ind w:left="420"/>
      </w:pPr>
      <w:r>
        <w:t xml:space="preserve">1. die Vollstreckung im Verfahren nach Artikel 59 der Verordnung (EU) 2019/1111 versagt worden ist oder</w:t>
      </w:r>
    </w:p>
    <w:p>
      <w:pPr>
        <w:ind w:left="420"/>
      </w:pPr>
      <w:r>
        <w:t xml:space="preserve">2. die Vollstreckung nach Artikel 56 Absatz 1, 2 oder 4 der Verordnung (EU) 2019/1111 ausgesetzt worden ist.</w:t>
      </w:r>
    </w:p>
    <w:p>
      <w:r>
        <w:t xml:space="preserve">In den Fällen des Satzes 1 Nummer 1 sind die bereits getroffenen Vollstreckungsmaßregeln aufzuheben. In den Fällen des Satzes 1 Nummer 2 bleiben die bereits getroffenen Vollstreckungsmaßregeln einstweilen bestehen, sofern nicht durch die Entscheidung über die Aussetzung der Vollstreckung auch die Aufhebung der bisherigen Vollstreckungsmaßregeln angeordnet ist.</w:t>
      </w:r>
    </w:p>
    <w:p>
      <w:r>
        <w:t xml:space="preserve">(2) Die Zwangsvollstreckung ist entsprechend § 775 Nummer 1 und 2 und § 776 der Zivilprozessordnung einzustellen oder zu beschränken, wenn Folgendes vorgelegt wird:</w:t>
      </w:r>
    </w:p>
    <w:p>
      <w:pPr>
        <w:ind w:left="420"/>
      </w:pPr>
      <w:r>
        <w:t xml:space="preserve">1. im Fall einer nach Artikel 47 der Verordnung (EU) 2019/1111 bescheinigten Entscheidung eine Bescheinigung über die Aussetzung oder Einschränkung der Vollstreckbarkeit nach Artikel 49 Absatz 1 der Verordnung (EU) 2019/1111,</w:t>
      </w:r>
    </w:p>
    <w:p>
      <w:pPr>
        <w:ind w:left="420"/>
      </w:pPr>
      <w:r>
        <w:t xml:space="preserve">2. im Fall eines nicht in Nummer 1 genannten Titels eine Entscheidung des Mitgliedstaates, in dem der Titel geschaffen wurde, über die Nichtvollstreckbarkeit oder über die Beschränkung der Vollstreckbarkeit.</w:t>
      </w:r>
    </w:p>
    <w:p>
      <w:r>
        <w:t xml:space="preserve">Im Fall des Satzes 1 Nummer 2 ist auf Verlangen des Vollstreckungsorgans eine Übersetzung der Entscheidung in die deutsche Sprache vorzulegen. Die Übersetzung ist von einer in einem der Mitgliedstaaten der Europäischen Union hierzu befugten Person zu erstellen.</w:t>
      </w:r>
    </w:p>
    <w:p>
      <w:r>
        <w:rPr>
          <w:color w:val="555555"/>
          <w:sz w:val="17"/>
        </w:rPr>
        <w:t xml:space="preserve">Zitiervorschlag: § 44g IntFamRVG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https://recht.nulegal.eu/gesetze/IntFamRVG/44g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