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44f IntFamRVG — Aussetzung der Vollstreckung nach Artikel 56 Absatz 1, 2 und 4 der Verordnung (EU) 2019/1111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(1) Antragsberechtigt nach Artikel 56 Absatz 1 und 2 der Verordnung (EU) 2019/1111 ist auch das betroffene Kind. Antragsberechtigt nach Artikel 56 Absatz 4 der Verordnung (EU) 2019/1111 sind auch das betroffene Kind und das Jugendamt.</w:t>
      </w:r>
    </w:p>
    <w:p>
      <w:r>
        <w:t xml:space="preserve">(2) Die Befugnis zur Aussetzung der Vollstreckung im Sinne des Artikels 56 Absatz 1, 2 und 4 der Verordnung (EU) 2019/1111 umfasst die Befugnis zur Aufhebung der bisherigen Vollstreckungsmaßregeln. Die Entscheidung über eine Aussetzung der Vollstreckung nach Artikel 56 Absatz 1, 2 und 4 der Verordnung (EU) 2019/1111 ist unanfechtbar.</w:t>
      </w:r>
    </w:p>
    <w:p>
      <w:r>
        <w:t xml:space="preserve">(3) Für die Entscheidung über die Aussetzung der Vollstreckung ist das Oberlandesgericht zuständig, wenn dort eine sofortige Beschwerde gegen einen im Vollstreckungsverfahren ergangenen Beschluss anhängig ist.</w:t>
      </w:r>
    </w:p>
    <w:p>
      <w:r>
        <w:t xml:space="preserve">(4) § 93 des Gesetzes über das Verfahren in Familiensachen und in den Angelegenheiten der freiwilligen Gerichtsbarkeit findet keine Anwendung.</w:t>
      </w:r>
    </w:p>
    <w:p>
      <w:r>
        <w:rPr>
          <w:color w:val="555555"/>
          <w:sz w:val="17"/>
        </w:rPr>
        <w:t xml:space="preserve">Zitiervorschlag: § 44f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https://recht.nulegal.eu/gesetze/IntFamRVG/44f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