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44e IntFamRVG — Rechtsbeschwerde</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Gegen den Beschluss des Beschwerdegerichts findet die Rechtsbeschwerde zum Bundesgerichtshof statt, wenn das Beschwerdegericht sie in seinem Beschluss in entsprechender Anwendung des § 574 Absatz 1 Satz 1 Nummer 2 und Absatz 3 der Zivilprozessordnung zugelassen hat.</w:t>
      </w:r>
    </w:p>
    <w:p>
      <w:r>
        <w:t xml:space="preserve">(2) § 574 Absatz 4, § 575 Absatz 1 bis 4 sowie die §§ 576 und 577 der Zivilprozessordnung und § 44c Absatz 2 bis 5 sind entsprechend anwendbar. In Angelegenheiten der freiwilligen Gerichtsbarkeit bleiben § 574 Absatz 4 und § 577 Absatz 2 Satz 1 bis 3 der Zivilprozessordnung sowie in § 576 Absatz 3 die Verweisung auf § 556 der Zivilprozessordnung außer Betracht.</w:t>
      </w:r>
    </w:p>
    <w:p>
      <w:r>
        <w:t xml:space="preserve">(3) Soweit die Rechtsbeschwerde darauf gestützt wird, dass das Beschwerdegericht von einer Entscheidung des Gerichtshofs der Europäischen Union abgewichen sei, muss die Entscheidung, von der der angefochtene Beschluss abweicht, in der Beschwerdebegründung bezeichnet werden.</w:t>
      </w:r>
    </w:p>
    <w:p>
      <w:r>
        <w:rPr>
          <w:color w:val="555555"/>
          <w:sz w:val="17"/>
        </w:rPr>
        <w:t xml:space="preserve">Zitiervorschlag: § 44e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