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IntFamRVG — Allgemeine Verfahrensvorschriften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Aus einem Titel nach Kapitel IV der Verordnung (EU) 2019/1111, der in einem anderen Mitgliedstaat vollstreckbar ist, findet die Zwangsvollstreckung im Inland statt, ohne dass es einer Vollstreckungsklausel bedarf.</w:t>
      </w:r>
    </w:p>
    <w:p>
      <w:r>
        <w:t xml:space="preserve">(2) Weist die zur Vollstreckung berechtigte Person bei Vorlage der nach den Artikeln 35, 46 oder 65 Absatz 2 Satz 2 der Verordnung (EU) 2019/1111 zwecks Vollstreckung vorzulegenden Unterlagen nicht nach, wann der verpflichteten Person der zu vollstreckende Titel und die nach den Artikeln 36, 47 oder 66 ausgestellte Bescheinigung zugestellt worden sind, so stellt die für die Vollstreckung zuständige Stelle der verpflichteten Person von Amts wegen Abschriften der ihr vorgelegten Bescheinigung sowie der ihr vorgelegten Ausfertigung der Entscheidung zu.</w:t>
      </w:r>
    </w:p>
    <w:p>
      <w:r>
        <w:t xml:space="preserve">(3) Umfasst ein vollstreckungsfähiger Titel nach Kapitel IV der Verordnung (EU) 2019/1111 nach dem Recht des Staates, in dem er geschaffen wurde, das Recht auf Herausgabe des Kindes, so kann das Familiengericht die Herausgabeanordnung in einer nach § 44 getroffenen Anordnung klarstellend aufnehmen.</w:t>
      </w:r>
    </w:p>
    <w:p>
      <w:r>
        <w:rPr>
          <w:color w:val="555555"/>
          <w:sz w:val="17"/>
        </w:rPr>
        <w:t xml:space="preserve">Zitiervorschlag: § 44a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