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IntFamRVG — Bescheinigung über Widerrechtlichkeit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Über einen Antrag, die Widerrechtlichkeit des Verbringens oder des Zurückhaltens eines Kindes nach Artikel 15 Satz 1 des Haager Kindesentführungsübereinkommens festzustellen, entscheidet in folgender Rangfolge das Familiengericht, in dessen Zuständigkeitsbereich</w:t>
      </w:r>
    </w:p>
    <w:p>
      <w:pPr>
        <w:ind w:left="420"/>
      </w:pPr>
      <w:r>
        <w:t xml:space="preserve">1. die Sorgerechtsangelegenheit oder Ehesache im ersten Rechtszug anhängig ist oder war,</w:t>
      </w:r>
    </w:p>
    <w:p>
      <w:pPr>
        <w:ind w:left="420"/>
      </w:pPr>
      <w:r>
        <w:t xml:space="preserve">2. das Kind seinen letzten gewöhnlichen Aufenthalt im Geltungsbereich dieses Gesetzes hatte,</w:t>
      </w:r>
    </w:p>
    <w:p>
      <w:pPr>
        <w:ind w:left="420"/>
      </w:pPr>
      <w:r>
        <w:t xml:space="preserve">3. das Bedürfnis der Fürsorge bekannt wird.</w:t>
      </w:r>
    </w:p>
    <w:p>
      <w:r>
        <w:t xml:space="preserve">§ 12 gilt entsprechend.</w:t>
      </w:r>
    </w:p>
    <w:p>
      <w:r>
        <w:t xml:space="preserve">(2) Der Antrag ist zu begründen; die für die Widerrechtlichkeit geltend gemachten Gründe sind glaubhaft zu machen.</w:t>
      </w:r>
    </w:p>
    <w:p>
      <w:r>
        <w:t xml:space="preserve">(3) Das Gericht kann im schriftlichen Verfahren und ohne Anhörung der Beteiligten entscheiden. Die Entscheidung ist zu begründen.</w:t>
      </w:r>
    </w:p>
    <w:p>
      <w:r>
        <w:t xml:space="preserve">(4) Der Beschluss ist mit der sofortigen Beschwerde in entsprechender Anwendung der §§ 567 bis 572 der Zivilprozessordnung anfechtbar. Eine Rechtsbeschwerde findet nicht statt.</w:t>
      </w:r>
    </w:p>
    <w:p>
      <w:r>
        <w:rPr>
          <w:color w:val="555555"/>
          <w:sz w:val="17"/>
        </w:rPr>
        <w:t xml:space="preserve">Zitiervorschlag: § 41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