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IntFamRVG — Übersetzungen bei eingehenden Ersuchen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Die Zentrale Behörde, bei der ein Antrag aus einem anderen Staat nach der Verordnung (EU) 2019/1111 oder nach dem Europäischen Sorgerechtsübereinkommen eingeht, kann es ablehnen, tätig zu werden, solange Anträge oder beizufügende Schriftstücke nicht in deutscher Sprache abgefasst oder von einer Übersetzung in diese Sprache begleitet sind. Satz 1 gilt auch für Mitteilungen nach dem Europäischen Sorgerechtsübereinkommen. Für Mitteilungen nach der Verordnung (EU) 2019/1111 gilt Satz 1, solange die Mitteilungen nicht in deutscher oder englischer Sprache abgefasst oder von einer Übersetzung in eine dieser Sprachen begleitet sind.</w:t>
      </w:r>
    </w:p>
    <w:p>
      <w:r>
        <w:t xml:space="preserve">(2) Ist ein Schriftstück nach Artikel 54 des Haager Kinderschutzübereinkommens oder nach Artikel 24 Absatz 1 des Haager Kindesentführungsübereinkommens ausnahmsweise nicht von einer deutschen Übersetzung begleitet, so veranlasst die Zentrale Behörde die Übersetzung.</w:t>
      </w:r>
    </w:p>
    <w:p>
      <w:r>
        <w:rPr>
          <w:color w:val="555555"/>
          <w:sz w:val="17"/>
        </w:rPr>
        <w:t xml:space="preserve">Zitiervorschlag: § 4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