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IntFamRVG — Ausstellung von Bescheinigungen nach Artikel 29 Absatz 2 der Verordnung (EU) 2019/1111 und Übersendung von Unterlagen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Die Bescheinigung nach Artikel 29 Absatz 2 der Verordnung (EU) 2019/1111 wird beim Gericht des ersten Rechtszugs von dem Familienrichter, in Verfahren vor dem Oberlandesgericht von dem Vorsitzenden des Senats für Familiensachen ausgestellt.</w:t>
      </w:r>
    </w:p>
    <w:p>
      <w:r>
        <w:t xml:space="preserve">(2) Werden Unterlagen nach Artikel 29 Absatz 3 der Verordnung (EU) 2019/1111 unmittelbar dem zuständigen Gericht oder der Zentralen Behörde im Ausland übermittelt, sind der Zentralen Behörde zur Erfüllung ihrer Aufgaben nach Artikel 7 des Haager Kindesentführungsübereinkommens Abschriften dieser Unterlagen zu übersenden.</w:t>
      </w:r>
    </w:p>
    <w:p>
      <w:r>
        <w:rPr>
          <w:color w:val="555555"/>
          <w:sz w:val="17"/>
        </w:rPr>
        <w:t xml:space="preserve">Zitiervorschlag: § 39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