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IntFamRVG — Anwendbarkeit</w:t>
      </w:r>
    </w:p>
    <w:p>
      <w:r>
        <w:rPr>
          <w:color w:val="555555"/>
          <w:sz w:val="18"/>
        </w:rPr>
        <w:t xml:space="preserve">Internationales Familienrechtsverfahrensgesetz</w:t>
      </w:r>
    </w:p>
    <w:p>
      <w:r>
        <w:rPr>
          <w:color w:val="555555"/>
          <w:sz w:val="18"/>
        </w:rPr>
        <w:t xml:space="preserve">Stand: 06.02.2024 (konsolidierte Textfassung, kein amtliches Inkrafttretensdatum)</w:t>
      </w:r>
    </w:p>
    <w:p>
      <w:r>
        <w:t xml:space="preserve">Kommt im Einzelfall die Rückgabe des Kindes nach dem Haager Kindesentführungsübereinkommen und dem Europäischen Sorgerechtsübereinkommen in Betracht, so sind zunächst die Bestimmungen des Haager Kindesentführungsübereinkommens anzuwenden, sofern die antragstellende Person nicht ausdrücklich die Anwendung des Europäischen Sorgerechtsübereinkommens begehrt.</w:t>
      </w:r>
    </w:p>
    <w:p>
      <w:r>
        <w:rPr>
          <w:color w:val="555555"/>
          <w:sz w:val="17"/>
        </w:rPr>
        <w:t xml:space="preserve">Zitiervorschlag: § 37 IntFamRVG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https://recht.nulegal.eu/gesetze/IntFamRVG/37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