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IntFamRVG — Vollstreckungsabwehrklage bei Titeln über die Erstattung von Verfahrenskosten</w:t>
      </w:r>
    </w:p>
    <w:p>
      <w:r>
        <w:rPr>
          <w:color w:val="555555"/>
          <w:sz w:val="18"/>
        </w:rPr>
        <w:t xml:space="preserve">Internationales Familienrechtsverfahrensgesetz</w:t>
      </w:r>
    </w:p>
    <w:p>
      <w:r>
        <w:rPr>
          <w:color w:val="555555"/>
          <w:sz w:val="18"/>
        </w:rPr>
        <w:t xml:space="preserve">Stand: 06.02.2024 (konsolidierte Textfassung, kein amtliches Inkrafttretensdatum)</w:t>
      </w:r>
    </w:p>
    <w:p>
      <w:r>
        <w:t xml:space="preserve">(1) Ist die Zwangsvollstreckung aus einem Titel über die Erstattung von Verfahrenskosten zugelassen, so kann die verpflichtete Person Einwendungen gegen den Anspruch selbst in einem Verfahren nach § 767 der Zivilprozessordnung nur geltend machen, wenn die Gründe, auf denen ihre Einwendungen beruhen, erst</w:t>
      </w:r>
    </w:p>
    <w:p>
      <w:pPr>
        <w:ind w:left="420"/>
      </w:pPr>
      <w:r>
        <w:t xml:space="preserve">1. nach Ablauf der Frist, innerhalb deren sie die Beschwerde hätte einlegen können, oder</w:t>
      </w:r>
    </w:p>
    <w:p>
      <w:pPr>
        <w:ind w:left="420"/>
      </w:pPr>
      <w:r>
        <w:t xml:space="preserve">2. falls die Beschwerde eingelegt worden ist, nach Beendigung dieses Verfahrens</w:t>
      </w:r>
    </w:p>
    <w:p>
      <w:r>
        <w:t xml:space="preserve">entstanden sind.</w:t>
      </w:r>
    </w:p>
    <w:p>
      <w:r>
        <w:t xml:space="preserve">(2) Die Klage nach § 767 der Zivilprozessordnung ist bei dem Gericht zu erheben, das über den Antrag auf Erteilung der Vollstreckungsklausel entschieden hat.</w:t>
      </w:r>
    </w:p>
    <w:p>
      <w:r>
        <w:rPr>
          <w:color w:val="555555"/>
          <w:sz w:val="17"/>
        </w:rPr>
        <w:t xml:space="preserve">Zitiervorschlag: § 36 IntFamRVG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https://recht.nulegal.eu/gesetze/IntFamRVG/36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