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IntFamRVG — Schadensersatz wegen ungerechtfertigter Vollstreckung aus Titeln über die Erstattung von Verfahrenskosten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Wird die Zulassung der Zwangsvollstreckung aus einem Titel über die Erstattung von Verfahrenskosten auf die Rechtsbeschwerde aufgehoben oder abgeändert, so ist die berechtigte Person zum Ersatz des Schadens verpflichtet, welcher der verpflichteten Person durch die Vollstreckung des Titels oder durch eine Leistung zur Abwendung der Vollstreckung entstanden ist. Das Gleiche gilt, wenn die Zulassung der Zwangsvollstreckung nach § 34 aufgehoben oder abgeändert wird, sofern der zur Zwangsvollstreckung zugelassene Titel zum Zeitpunkt der Zulassung nach dem Recht des Staates, in dem er ergangen ist, noch mit einem ordentlichen Rechtsbehelf angefochten werden konnte.</w:t>
      </w:r>
    </w:p>
    <w:p>
      <w:r>
        <w:t xml:space="preserve">(2) Für den Antrag, mit dem ein Anspruch nach Absatz 1 geltend gemacht wird, ist das Gericht ausschließlich zuständig, das im ersten Rechtszug über den Antrag, den Titel mit der Vollstreckungsklausel zu versehen, entschieden hat. Es entscheidet nach den für sonstige Familiensachen im Sinne des § 266 Absatz 1 des Gesetzes über das Verfahren in Familiensachen und in den Angelegenheiten der freiwilligen Gerichtsbarkeit geltenden Vorschriften.</w:t>
      </w:r>
    </w:p>
    <w:p>
      <w:r>
        <w:rPr>
          <w:color w:val="555555"/>
          <w:sz w:val="17"/>
        </w:rPr>
        <w:t xml:space="preserve">Zitiervorschlag: § 35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