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IntFamRVG — Verfahren auf Aufhebung oder Änderung</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Wird der Titel in dem Staat, in dem er geschaffen worden ist, aufgehoben oder abgeändert und kann die verpflichtete Person diese Tatsache in dem Verfahren der Zulassung der Zwangsvollstreckung nicht mehr geltend machen, so kann sie die Aufhebung oder Änderung der Zulassung in einem besonderen Verfahren beantragen. Das Gleiche gilt für den Fall der Aufhebung oder Änderung von in den Anwendungsbereich des Haager Kinderschutzübereinkommens und des Europäischen Sorgerechtsübereinkommens fallenden Entscheidungen, deren Anerkennung festgestellt ist.</w:t>
      </w:r>
    </w:p>
    <w:p>
      <w:r>
        <w:t xml:space="preserve">(2) Für die Entscheidung über den Antrag ist das Familiengericht ausschließlich zuständig, das im ersten Rechtszug über den Antrag auf Erteilung der Vollstreckungsklausel oder auf Feststellung der Anerkennung entschieden hat.</w:t>
      </w:r>
    </w:p>
    <w:p>
      <w:r>
        <w:t xml:space="preserve">(3) Der Antrag kann bei dem Gericht schriftlich oder durch Erklärung zu Protokoll der Geschäftsstelle gestellt werden. Die Entscheidung ergeht durch Beschluss.</w:t>
      </w:r>
    </w:p>
    <w:p>
      <w:r>
        <w:t xml:space="preserve">(4) Auf die Beschwerde finden die Unterabschnitte 2 und 3 entsprechend Anwendung.</w:t>
      </w:r>
    </w:p>
    <w:p>
      <w:r>
        <w:t xml:space="preserve">(5) Im Falle eines Titels über die Erstattung von Verfahrenskosten sind für die Einstellung der Zwangsvollstreckung und die Aufhebung bereits getroffener Vollstreckungsmaßregeln die §§ 769 und 770 der Zivilprozessordnung entsprechend anzuwenden. Die Aufhebung einer Vollstreckungsmaßregel ist auch ohne Sicherheitsleistung zulässig.</w:t>
      </w:r>
    </w:p>
    <w:p>
      <w:r>
        <w:rPr>
          <w:color w:val="555555"/>
          <w:sz w:val="17"/>
        </w:rPr>
        <w:t xml:space="preserve">Zitiervorschlag: § 34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