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IntFamRVG — Anordnung auf Herausgabe des Kindes</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Umfasst ein vollstreckungsfähiger Titel im Anwendungsbereich des Haager Kinderschutzübereinkommens oder des Europäischen Sorgerechtsübereinkommens nach dem Recht des Staates, in dem er geschaffen wurde, das Recht auf Herausgabe des Kindes, so kann das Familiengericht die Herausgabeanordnung in der Vollstreckungsklausel oder in einer nach § 44 getroffenen Anordnung klarstellend aufnehmen.</w:t>
      </w:r>
    </w:p>
    <w:p>
      <w:r>
        <w:t xml:space="preserve">(2) Liegt im Anwendungsbereich des Europäischen Sorgerechtsübereinkommens ein vollstreckungsfähiger Titel auf Herausgabe des Kindes nicht vor, so stellt das Gericht nach § 32 fest, dass die Sorgerechtsentscheidung oder die von der zuständigen Behörde genehmigte Sorgerechtsvereinbarung aus dem anderen Vertragsstaat anzuerkennen ist, und ordnet zur Wiederherstellung des Sorgeverhältnisses auf Antrag an, dass die verpflichtete Person das Kind herauszugeben hat.</w:t>
      </w:r>
    </w:p>
    <w:p>
      <w:r>
        <w:rPr>
          <w:color w:val="555555"/>
          <w:sz w:val="17"/>
        </w:rPr>
        <w:t xml:space="preserve">Zitiervorschlag: § 33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