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 IntFamRVG — Anordnung der sofortigen Wirksamkeit</w:t>
      </w:r>
    </w:p>
    <w:p>
      <w:r>
        <w:rPr>
          <w:color w:val="555555"/>
          <w:sz w:val="18"/>
        </w:rPr>
        <w:t xml:space="preserve">Internationales Familienrechtsverfahrensgesetz</w:t>
      </w:r>
    </w:p>
    <w:p>
      <w:r>
        <w:rPr>
          <w:color w:val="555555"/>
          <w:sz w:val="18"/>
        </w:rPr>
        <w:t xml:space="preserve">Stand: 06.02.2024 (konsolidierte Textfassung, kein amtliches Inkrafttretensdatum)</w:t>
      </w:r>
    </w:p>
    <w:p>
      <w:r>
        <w:t xml:space="preserve">Der Bundesgerichtshof kann auf Antrag der verpflichteten Person eine Anordnung nach § 27 Absatz 2 aufheben oder auf Antrag der berechtigten Person erstmals eine Anordnung nach § 27 Absatz 2 treffen.</w:t>
      </w:r>
    </w:p>
    <w:p>
      <w:r>
        <w:rPr>
          <w:color w:val="555555"/>
          <w:sz w:val="17"/>
        </w:rPr>
        <w:t xml:space="preserve">Zitiervorschlag: § 31 IntFamRVG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https://recht.nulegal.eu/gesetze/IntFamRVG/31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