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IntFamRVG — Verfahren und Entscheidung über die Rechtsbeschwerde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Der Bundesgerichtshof kann nur überprüfen, ob der Beschluss auf einer Verletzung des Rechts der Europäischen Union, eines Anerkennungs- und Vollstreckungsvertrags, sonstigen Bundesrechts oder einer anderen Vorschrift beruht, deren Geltungsbereich sich über den Bezirk eines Oberlandesgerichts hinaus erstreckt. Er darf nicht prüfen, ob das Gericht seine örtliche Zuständigkeit zu Unrecht angenommen hat.</w:t>
      </w:r>
    </w:p>
    <w:p>
      <w:r>
        <w:t xml:space="preserve">(2) Der Bundesgerichtshof kann über die Rechtsbeschwerde ohne mündliche Verhandlung entscheiden. Entsprechend anzuwenden sind die §§ 546, 547, 560 und 577 der Zivilprozessordnung mit Ausnahme von Absatz 2 Satz 1 bis 3.</w:t>
      </w:r>
    </w:p>
    <w:p>
      <w:r>
        <w:t xml:space="preserve">(3) § 20 Absatz 1 Satz 2, Absatz 2 und 3, § 21 Absatz 1, 2 und 4 sowie § 23 gelten entsprechend.</w:t>
      </w:r>
    </w:p>
    <w:p>
      <w:r>
        <w:rPr>
          <w:color w:val="555555"/>
          <w:sz w:val="17"/>
        </w:rPr>
        <w:t xml:space="preserve">Zitiervorschlag: § 30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