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IntFamRVG — Bestimmung der Zentralen und der nationalen Behörde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(1) Zentrale Behörde nach</w:t>
      </w:r>
    </w:p>
    <w:p>
      <w:pPr>
        <w:ind w:left="420"/>
      </w:pPr>
      <w:r>
        <w:t xml:space="preserve">1. Artikel 76 der Verordnung (EU) 2019/1111,</w:t>
      </w:r>
    </w:p>
    <w:p>
      <w:pPr>
        <w:ind w:left="420"/>
      </w:pPr>
      <w:r>
        <w:t xml:space="preserve">2. Artikel 29 des Haager Kinderschutzübereinkommens,</w:t>
      </w:r>
    </w:p>
    <w:p>
      <w:pPr>
        <w:ind w:left="420"/>
      </w:pPr>
      <w:r>
        <w:t xml:space="preserve">3. Artikel 6 des Haager Kindesentführungsübereinkommens,</w:t>
      </w:r>
    </w:p>
    <w:p>
      <w:pPr>
        <w:ind w:left="420"/>
      </w:pPr>
      <w:r>
        <w:t xml:space="preserve">4. Artikel 2 des Europäischen Sorgerechtsübereinkommens</w:t>
      </w:r>
    </w:p>
    <w:p>
      <w:r>
        <w:t xml:space="preserve">ist das Bundesamt für Justiz. Dieses ist auch nationale Behörde nach Artikel 15 Satz 2 des Europäischen Adoptionsübereinkommens.</w:t>
      </w:r>
    </w:p>
    <w:p>
      <w:r>
        <w:t xml:space="preserve">(2) Die Verfahren der Zentralen Behörde und der nationalen Behörde gelten als Justizverwaltungsverfahren.</w:t>
      </w:r>
    </w:p>
    <w:p>
      <w:r>
        <w:rPr>
          <w:color w:val="555555"/>
          <w:sz w:val="17"/>
        </w:rPr>
        <w:t xml:space="preserve">Zitiervorschlag: § 3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