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IntFamRVG — Anordnung der sofortigen Wirksamkeit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(1) Der Beschluss des Oberlandesgerichts nach § 26 wird erst mit seiner Rechtskraft wirksam. Hierauf ist in dem Beschluss hinzuweisen.</w:t>
      </w:r>
    </w:p>
    <w:p>
      <w:r>
        <w:t xml:space="preserve">(2) Das Oberlandesgericht kann in Verbindung mit der Entscheidung über die Beschwerde die sofortige Wirksamkeit eines Beschlusses anordnen.</w:t>
      </w:r>
    </w:p>
    <w:p>
      <w:r>
        <w:rPr>
          <w:color w:val="555555"/>
          <w:sz w:val="17"/>
        </w:rPr>
        <w:t xml:space="preserve">Zitiervorschlag: § 27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