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IntFamRVG — Verfahren und Entscheidung über die Beschwerde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Der Senat des Oberlandesgerichts entscheidet durch Beschluss, der mit Gründen zu versehen ist und ohne mündliche Verhandlung ergehen kann.</w:t>
      </w:r>
    </w:p>
    <w:p>
      <w:r>
        <w:t xml:space="preserve">(2) Solange eine mündliche Verhandlung nicht angeordnet ist, können zu Protokoll der Geschäftsstelle Anträge gestellt und Erklärungen abgegeben werden.</w:t>
      </w:r>
    </w:p>
    <w:p>
      <w:r>
        <w:t xml:space="preserve">(3) Eine vollständige Ausfertigung des Beschlusses ist den Beteiligten auch dann von Amts wegen zuzustellen, wenn der Beschluss verkündet worden ist.</w:t>
      </w:r>
    </w:p>
    <w:p>
      <w:r>
        <w:t xml:space="preserve">(4) § 20 Absatz 1 Satz 2, Absatz 2 und 3, § 21 Absatz 1, 2 und 4 sowie § 23 gelten entsprechend.</w:t>
      </w:r>
    </w:p>
    <w:p>
      <w:r>
        <w:rPr>
          <w:color w:val="555555"/>
          <w:sz w:val="17"/>
        </w:rPr>
        <w:t xml:space="preserve">Zitiervorschlag: § 26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