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IntFamRVG — Wirksamwerden der Entscheidung</w:t>
      </w:r>
    </w:p>
    <w:p>
      <w:r>
        <w:rPr>
          <w:color w:val="555555"/>
          <w:sz w:val="18"/>
        </w:rPr>
        <w:t xml:space="preserve">Internationales Familienrechtsverfahrensgesetz</w:t>
      </w:r>
    </w:p>
    <w:p>
      <w:r>
        <w:rPr>
          <w:color w:val="555555"/>
          <w:sz w:val="18"/>
        </w:rPr>
        <w:t xml:space="preserve">Stand: 06.02.2024 (konsolidierte Textfassung, kein amtliches Inkrafttretensdatum)</w:t>
      </w:r>
    </w:p>
    <w:p>
      <w:r>
        <w:t xml:space="preserve">Der Beschluss nach § 20 wird erst mit Rechtskraft wirksam. Hierauf ist in dem Beschluss hinzuweisen.</w:t>
      </w:r>
    </w:p>
    <w:p>
      <w:r>
        <w:rPr>
          <w:color w:val="555555"/>
          <w:sz w:val="17"/>
        </w:rPr>
        <w:t xml:space="preserve">Zitiervorschlag: § 22 IntFamRVG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https://recht.nulegal.eu/gesetze/IntFamRVG/22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