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IntFamRVG — Entscheidung</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(1) Ist die Zwangsvollstreckung aus dem Titel zuzulassen, so beschließt das Gericht, dass der Titel mit der Vollstreckungsklausel zu versehen ist. In dem Beschluss ist die zu vollstreckende Verpflichtung in deutscher Sprache wiederzugeben. Zur Begründung des Beschlusses genügt in der Regel die Bezugnahme auf den auszuführenden Anerkennungs- und Vollstreckungsvertrag sowie auf die von der antragstellenden Person vorgelegten Urkunden.</w:t>
      </w:r>
    </w:p>
    <w:p>
      <w:r>
        <w:t xml:space="preserve">(2) Auf die Kosten des Verfahrens ist § 81 des Gesetzes über das Verfahren in Familiensachen und in den Angelegenheiten der freiwilligen Gerichtsbarkeit entsprechend anzuwenden.</w:t>
      </w:r>
    </w:p>
    <w:p>
      <w:r>
        <w:t xml:space="preserve">(3) Ist der Antrag nicht zulässig oder nicht begründet, so lehnt ihn das Gericht durch mit Gründen versehenen Beschluss ab. Für die Kosten gilt Absatz 2.</w:t>
      </w:r>
    </w:p>
    <w:p>
      <w:r>
        <w:rPr>
          <w:color w:val="555555"/>
          <w:sz w:val="17"/>
        </w:rPr>
        <w:t xml:space="preserve">Zitiervorschlag: § 20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