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IntFamRVG — Familiengerichtliches Verfahren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Historische Fassung: Stand 10.06.2019 bis 24.08.2021. Dies ist nicht die aktuelle Fassung.</w:t>
      </w:r>
    </w:p>
    <w:p>
      <w:r>
        <w:t xml:space="preserve">Soweit nicht anders bestimmt, entscheidet das Familiengericht</w:t>
      </w:r>
    </w:p>
    <w:p>
      <w:pPr>
        <w:ind w:left="420"/>
      </w:pPr>
      <w:r>
        <w:t xml:space="preserve">1. über eine in den §§ 10 und 12 bezeichnete Ehesache nach den hierfür geltenden Vorschriften des Gesetzes über das Verfahren in Familiensachen und in den Angelegenheiten der freiwilligen Gerichtsbarkeit,</w:t>
      </w:r>
    </w:p>
    <w:p>
      <w:pPr>
        <w:ind w:left="420"/>
      </w:pPr>
      <w:r>
        <w:t xml:space="preserve">2. über die übrigen in den §§ 10, 11, 12 und 47 bezeichneten Angelegenheiten als Familiensachen im Verfahren der freiwilligen Gerichtsbarkeit.</w:t>
      </w:r>
    </w:p>
    <w:p>
      <w:r>
        <w:rPr>
          <w:color w:val="555555"/>
          <w:sz w:val="17"/>
        </w:rPr>
        <w:t xml:space="preserve">Zitiervorschlag: § 14 IntFamRVG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https://recht.nulegal.eu/gesetze/IntFamRVG/14?asof=2019-06-10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IntFamRVG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