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IntFamRVG — Örtliche Zuständigkeit nach dem Haager Kindesentführungsübereinkommen</w:t>
      </w:r>
    </w:p>
    <w:p>
      <w:r>
        <w:rPr>
          <w:color w:val="555555"/>
          <w:sz w:val="18"/>
        </w:rPr>
        <w:t xml:space="preserve">Internationales Familienrechtsverfahrensgesetz</w:t>
      </w:r>
    </w:p>
    <w:p>
      <w:r>
        <w:rPr>
          <w:color w:val="555555"/>
          <w:sz w:val="18"/>
        </w:rPr>
        <w:t xml:space="preserve">Stand: 06.02.2024 (konsolidierte Textfassung, kein amtliches Inkrafttretensdatum)</w:t>
      </w:r>
    </w:p>
    <w:p>
      <w:r>
        <w:t xml:space="preserve">Örtlich zuständig für Verfahren nach dem Haager Kindesentführungsübereinkommen ist das Familiengericht, in dessen Zuständigkeitsbereich</w:t>
      </w:r>
    </w:p>
    <w:p>
      <w:pPr>
        <w:ind w:left="420"/>
      </w:pPr>
      <w:r>
        <w:t xml:space="preserve">1. sich das Kind beim Eingang des Antrags bei der Zentralen Behörde aufgehalten hat oder</w:t>
      </w:r>
    </w:p>
    <w:p>
      <w:pPr>
        <w:ind w:left="420"/>
      </w:pPr>
      <w:r>
        <w:t xml:space="preserve">2. bei Fehlen einer Zuständigkeit nach Nummer 1 das Bedürfnis der Fürsorge bekannt wird.</w:t>
      </w:r>
    </w:p>
    <w:p>
      <w:r>
        <w:rPr>
          <w:color w:val="555555"/>
          <w:sz w:val="17"/>
        </w:rPr>
        <w:t xml:space="preserve">Zitiervorschlag: § 11 IntFamRVG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https://recht.nulegal.eu/gesetze/IntFamRVG/11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