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IntFamRVG — Anwendungsbereich</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Dieses Gesetz dient</w:t>
      </w:r>
    </w:p>
    <w:p>
      <w:pPr>
        <w:ind w:left="420"/>
      </w:pPr>
      <w:r>
        <w:t xml:space="preserve">1. der Durchführung der Verordnung (EU) 2019/1111 des Rates vom 25. Juni 2019 über die Zuständigkeit, die Anerkennung und Vollstreckung von Entscheidungen in Ehesachen und in Verfahren betreffend die elterliche Verantwortung und über internationale Kindesentführungen (ABl. L 178 vom 2.7.2019, S. 1);</w:t>
      </w:r>
    </w:p>
    <w:p>
      <w:pPr>
        <w:ind w:left="420"/>
      </w:pPr>
      <w:r>
        <w:t xml:space="preserve">2. der Ausführung des Haager Übereinkommens vom 19. Oktober 1996 über die Zuständigkeit, das anzuwendende Recht, die Anerkennung, Vollstreckung und Zusammenarbeit auf dem Gebiet der elterlichen Verantwortung und der Maßnahmen zum Schutz von Kindern (BGBl. 2009 II S. 602, 603) – im Folgenden: Haager Kinderschutzübereinkommen;</w:t>
      </w:r>
    </w:p>
    <w:p>
      <w:pPr>
        <w:ind w:left="420"/>
      </w:pPr>
      <w:r>
        <w:t xml:space="preserve">3. der Ausführung des Haager Übereinkommens vom 25. Oktober 1980 über die zivilrechtlichen Aspekte internationaler Kindesentführung (BGBl. 1990 II S. 207) – im Folgenden: Haager Kindesentführungsübereinkommen;</w:t>
      </w:r>
    </w:p>
    <w:p>
      <w:pPr>
        <w:ind w:left="420"/>
      </w:pPr>
      <w:r>
        <w:t xml:space="preserve">4. der Ausführung des Europäischen Übereinkommens vom 20. Mai 1980 über die Anerkennung und Vollstreckung von Entscheidungen über das Sorgerecht für Kinder und die Wiederherstellung des Sorgeverhältnisses (BGBl. 1990 II S. 220) – im Folgenden: Europäisches Sorgerechtsübereinkommen;</w:t>
      </w:r>
    </w:p>
    <w:p>
      <w:pPr>
        <w:ind w:left="420"/>
      </w:pPr>
      <w:r>
        <w:t xml:space="preserve">5. der Ausführung des Europäischen Übereinkommens vom 27. November 2008 über die Adoption von Kindern (revidiert) (BGBl. 2015 II S. 3) – im Folgenden: Europäisches Adoptionsübereinkommen.</w:t>
      </w:r>
    </w:p>
    <w:p>
      <w:r>
        <w:rPr>
          <w:color w:val="555555"/>
          <w:sz w:val="17"/>
        </w:rPr>
        <w:t xml:space="preserve">Zitiervorschlag: § 1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