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IntErbRVG — Rechtsbeschwerde</w:t>
      </w:r>
    </w:p>
    <w:p>
      <w:r>
        <w:rPr>
          <w:color w:val="555555"/>
          <w:sz w:val="18"/>
        </w:rPr>
        <w:t xml:space="preserve">Internationales Erbrechtsverfahrensgesetz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Rechtsbeschwerde zum Bundesgerichtshof ist statthaft, wenn sie das Beschwerdegericht zugelassen hat. Die Zulassungsgründe bestimmen sich nach § 70 Absatz 2 des Gesetzes über das Verfahren in Familiensachen und in den Angelegenheiten der freiwilligen Gerichtsbarkeit. § 43 Absatz 3 gilt entsprechend.</w:t>
      </w:r>
    </w:p>
    <w:p>
      <w:r>
        <w:rPr>
          <w:color w:val="555555"/>
          <w:sz w:val="17"/>
        </w:rPr>
        <w:t xml:space="preserve">Zitiervorschlag: § 44 IntErbRVG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https://recht.nulegal.eu/gesetze/IntErbRVG/44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