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IntErbRVG — Beschwerde</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Gegen die Entscheidung in Verfahren nach § 33 Nummer 1 und 3 findet die Beschwerde zum Oberlandesgericht statt. § 61 des Gesetzes über das Verfahren in Familiensachen und in den Angelegenheiten der freiwilligen Gerichtsbarkeit ist nicht anzuwenden. Die Beschwerde ist bei dem Gericht einzulegen, dessen Entscheidung angefochten wird.</w:t>
      </w:r>
    </w:p>
    <w:p>
      <w:r>
        <w:t xml:space="preserve">(2) Beschwerdeberechtigt sind</w:t>
      </w:r>
    </w:p>
    <w:p>
      <w:pPr>
        <w:ind w:left="420"/>
      </w:pPr>
      <w:r>
        <w:t xml:space="preserve">1. in den Verfahren nach § 33 Nummer 1, sofern das Verfahren die Ausstellung eines Europäischen Nachlasszeugnisses betrifft, die Erben, die Vermächtnisnehmer mit unmittelbarer Berechtigung am Nachlass und die Testamentsvollstrecker oder die Nachlassverwalter;</w:t>
      </w:r>
    </w:p>
    <w:p>
      <w:pPr>
        <w:ind w:left="420"/>
      </w:pPr>
      <w:r>
        <w:t xml:space="preserve">2. in den übrigen Verfahren nach § 33 Nummer 1 sowie in den Verfahren nach § 33 Nummer 3 diejenigen Personen, die ein berechtigtes Interesse nachweisen.</w:t>
      </w:r>
    </w:p>
    <w:p>
      <w:r>
        <w:t xml:space="preserve">(3) Die Beschwerde ist einzulegen</w:t>
      </w:r>
    </w:p>
    <w:p>
      <w:pPr>
        <w:ind w:left="420"/>
      </w:pPr>
      <w:r>
        <w:t xml:space="preserve">1. innerhalb eines Monats, wenn der Beschwerdeführer seinen gewöhnlichen Aufenthalt im Inland hat;</w:t>
      </w:r>
    </w:p>
    <w:p>
      <w:pPr>
        <w:ind w:left="420"/>
      </w:pPr>
      <w:r>
        <w:t xml:space="preserve">2. innerhalb von zwei Monaten, wenn der Beschwerdeführer seinen gewöhnlichen Aufenthalt im Ausland hat.</w:t>
      </w:r>
    </w:p>
    <w:p>
      <w:r>
        <w:t xml:space="preserve">Die Frist beginnt jeweils mit dem Tag der Bekanntgabe der Entscheidung.</w:t>
      </w:r>
    </w:p>
    <w:p>
      <w:r>
        <w:t xml:space="preserve">(4) Die Beschwerde ist den anderen Beteiligten bekannt zu geben.</w:t>
      </w:r>
    </w:p>
    <w:p>
      <w:r>
        <w:t xml:space="preserve">(5) Hält das Beschwerdegericht die Beschwerde gegen die Ausstellung des Europäischen Nachlasszeugnisses für begründet, so ändert oder widerruft es das Zeugnis oder weist das Ausgangsgericht an, das Zeugnis zu berichtigen, zu ändern oder zu widerrufen. Hält das Beschwerdegericht die Beschwerde gegen die Ablehnung der Ausstellung des Europäischen Nachlasszeugnisses für begründet, so stellt es das Nachlasszeugnis aus oder verweist die Sache unter Aufhebung des angefochtenen Beschlusses zur erneuten Prüfung und Entscheidung an das Ausgangsgericht zurück. Stellt das Beschwerdegericht das Nachlasszeugnis aus und lässt es die Rechtsbeschwerde nicht zu, gilt § 39 Absatz 1 Satz 1 entsprechend. Bei allen sonstigen Beschwerdeentscheidungen nach diesem Absatz sowie nach Absatz 1 Satz 1 gilt im Übrigen § 69 des Gesetzes über das Verfahren in Familiensachen und in den Angelegenheiten der freiwilligen Gerichtsbarkeit.</w:t>
      </w:r>
    </w:p>
    <w:p>
      <w:r>
        <w:rPr>
          <w:color w:val="555555"/>
          <w:sz w:val="17"/>
        </w:rPr>
        <w:t xml:space="preserve">Zitiervorschlag: § 43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