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IntErbRVG — Bekanntgabe der Entscheidung</w:t>
      </w:r>
    </w:p>
    <w:p>
      <w:r>
        <w:rPr>
          <w:color w:val="555555"/>
          <w:sz w:val="18"/>
        </w:rPr>
        <w:t xml:space="preserve">Internationales Erbrechtsverfahrensgesetz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Entscheidungen nach § 39 Absatz 1 Satz 1 und 2 werden dem Antragsteller durch Übersendung einer beglaubigten Abschrift bekannt gegeben. Weiteren Beteiligten wird die Entscheidung nach § 39 Absatz 1 Satz 1 durch Übersendung einer einfachen Abschrift des ausgestellten Europäischen Nachlasszeugnisses bekannt gegeben.</w:t>
      </w:r>
    </w:p>
    <w:p>
      <w:r>
        <w:rPr>
          <w:color w:val="555555"/>
          <w:sz w:val="17"/>
        </w:rPr>
        <w:t xml:space="preserve">Zitiervorschlag: § 40 IntErbRVG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https://recht.nulegal.eu/gesetze/IntErbRVG/40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