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IntErbRVG — Ausstellung eines Europäischen Nachlasszeugnisses</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Der Antrag auf Ausstellung des Europäischen Nachlasszeugnisses richtet sich nach Artikel 65 der Verordnung (EU) Nr. 650/2012.</w:t>
      </w:r>
    </w:p>
    <w:p>
      <w:r>
        <w:t xml:space="preserve">(2) Der Antragsteller hat vor Gericht oder vor einem Notar an Eides statt zu versichern, dass ihm nichts bekannt sei, was der Richtigkeit seiner Angaben zur Ausstellung des Europäischen Nachlasszeugnisses (Artikel 66 Absatz 3 der Verordnung (EU) Nr. 650/2012) entgegensteht. Das Nachlassgericht kann dem Antragsteller die Versicherung erlassen, wenn es sie für nicht erforderlich hält.</w:t>
      </w:r>
    </w:p>
    <w:p>
      <w:r>
        <w:rPr>
          <w:color w:val="555555"/>
          <w:sz w:val="17"/>
        </w:rPr>
        <w:t xml:space="preserve">Zitiervorschlag: § 36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