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IntErbRVG — Allgemeine Verfahrensvorschriften</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Soweit sich aus der Verordnung (EU) Nr. 650/2012 und den Vorschriften dieses Abschnitts nichts anderes ergibt, ist das Gesetz über das Verfahren in Familiensachen und in den Angelegenheiten der freiwilligen Gerichtsbarkeit anzuwenden.</w:t>
      </w:r>
    </w:p>
    <w:p>
      <w:r>
        <w:t xml:space="preserve">(2) Ist ein Antrag entgegen § 184 Satz 1 des Gerichtsverfassungsgesetzes nicht in deutscher Sprache abgefasst, so kann das Gericht der antragstellenden Person aufgeben, eine Übersetzung des Antrags beizubringen, deren Richtigkeit von einer in einem Mitgliedstaat der Europäischen Union oder in einem anderen Vertragsstaat des Abkommens über den Europäischen Wirtschaftsraum hierzu befugten Person bestätigt worden ist.</w:t>
      </w:r>
    </w:p>
    <w:p>
      <w:r>
        <w:t xml:space="preserve">(3) Für die Unterrichtung der Berechtigten durch öffentliche Bekanntmachung nach Artikel 66 Absatz 4 der Verordnung (EU) Nr. 650/2012 gelten die §§ 435 bis 437 des Gesetzes über das Verfahren in Familiensachen und in den Angelegenheiten der freiwilligen Gerichtsbarkeit entsprechend.</w:t>
      </w:r>
    </w:p>
    <w:p>
      <w:r>
        <w:rPr>
          <w:color w:val="555555"/>
          <w:sz w:val="17"/>
        </w:rPr>
        <w:t xml:space="preserve">Zitiervorschlag: § 35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