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IntErbRVG — Anwendungsbereich</w:t>
      </w:r>
    </w:p>
    <w:p>
      <w:r>
        <w:rPr>
          <w:color w:val="555555"/>
          <w:sz w:val="18"/>
        </w:rPr>
        <w:t xml:space="preserve">Internationales Erbrechtsverfahrensgesetz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Dieser Abschnitt gilt für Verfahren über</w:t>
      </w:r>
    </w:p>
    <w:p>
      <w:pPr>
        <w:ind w:left="420"/>
      </w:pPr>
      <w:r>
        <w:t xml:space="preserve">1. die Ausstellung, Berichtigung, Änderung oder den Widerruf eines Europäischen Nachlasszeugnisses,</w:t>
      </w:r>
    </w:p>
    <w:p>
      <w:pPr>
        <w:ind w:left="420"/>
      </w:pPr>
      <w:r>
        <w:t xml:space="preserve">2. die Erteilung einer beglaubigten Abschrift eines Europäischen Nachlasszeugnisses oder die Verlängerung der Gültigkeitsfrist einer beglaubigten Abschrift und</w:t>
      </w:r>
    </w:p>
    <w:p>
      <w:pPr>
        <w:ind w:left="420"/>
      </w:pPr>
      <w:r>
        <w:t xml:space="preserve">3. die Aussetzung der Wirkungen eines Europäischen Nachlasszeugnisses.</w:t>
      </w:r>
    </w:p>
    <w:p>
      <w:r>
        <w:rPr>
          <w:color w:val="555555"/>
          <w:sz w:val="17"/>
        </w:rPr>
        <w:t xml:space="preserve">Zitiervorschlag: § 33 IntErbRVG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https://recht.nulegal.eu/gesetze/IntErbRVG/33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