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IntErbRVG — Mahnverfahren mit Zustellung im Ausland</w:t>
      </w:r>
    </w:p>
    <w:p>
      <w:r>
        <w:rPr>
          <w:color w:val="555555"/>
          <w:sz w:val="18"/>
        </w:rPr>
        <w:t xml:space="preserve">Internationales Erbrechtsverfahrensgesetz</w:t>
      </w:r>
    </w:p>
    <w:p>
      <w:r>
        <w:rPr>
          <w:color w:val="555555"/>
          <w:sz w:val="18"/>
        </w:rPr>
        <w:t xml:space="preserve">Stand: 10.06.2019 (konsolidierte Textfassung, kein amtliches Inkrafttretensdatum)</w:t>
      </w:r>
    </w:p>
    <w:p>
      <w:r>
        <w:t xml:space="preserve">(1) Das Mahnverfahren findet auch statt, wenn die Zustellung des Mahnbescheids in einem anderen Mitgliedstaat erfolgen muss. In diesem Fall kann der Anspruch auch die Zahlung einer bestimmten Geldsumme in ausländischer Währung zum Gegenstand haben.</w:t>
      </w:r>
    </w:p>
    <w:p>
      <w:r>
        <w:t xml:space="preserve">(2) Macht der Antragsteller geltend, dass das angerufene Gericht auf Grund einer Gerichtsstandsvereinbarung zuständig sei, so hat er dem Mahnantrag die erforderlichen Schriftstücke über die Vereinbarung beizufügen.</w:t>
      </w:r>
    </w:p>
    <w:p>
      <w:r>
        <w:t xml:space="preserve">(3) Die Widerspruchsfrist (§ 692 Absatz 1 Nummer 3 der Zivilprozessordnung) beträgt einen Monat.</w:t>
      </w:r>
    </w:p>
    <w:p>
      <w:r>
        <w:rPr>
          <w:color w:val="555555"/>
          <w:sz w:val="17"/>
        </w:rPr>
        <w:t xml:space="preserve">Zitiervorschlag: § 30 IntErbRVG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https://recht.nulegal.eu/gesetze/IntErbRVG/30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