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IntErbRVG — Verfahren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Verfahren, das die Feststellung zum Gegenstand hat, ob eine Entscheidung aus einem anderen Mitgliedstaat anzuerkennen ist, sind die §§ 3 bis 5, § 7 Absatz 2, die §§ 9 bis 11 Absatz 1 bis 3, die §§ 12, 13 sowie 14 Absatz 1 entsprechend anzuwenden.</w:t>
      </w:r>
    </w:p>
    <w:p>
      <w:r>
        <w:t xml:space="preserve">(2) Ist der Antrag auf Feststellung begründet, so beschließt das Gericht, die Entscheidung anzuerkennen.</w:t>
      </w:r>
    </w:p>
    <w:p>
      <w:r>
        <w:rPr>
          <w:color w:val="555555"/>
          <w:sz w:val="17"/>
        </w:rPr>
        <w:t xml:space="preserve">Zitiervorschlag: § 21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