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IntErbRVG — Unbeschränkte Fortsetzung der durch das Beschwerdegericht zugelassenen Zwangsvollstreckung</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Die Zwangsvollstreckung aus dem Titel, zu dem der Urkundsbeamte der Geschäftsstelle des Beschwerdegerichts die Vollstreckungsklausel mit dem Zusatz erteilt hat, dass die Zwangsvollstreckung auf Grund der Anordnung des Gerichts nicht über Maßregeln zur Sicherung hinausgehen darf (§ 11 Absatz 4 Satz 3), ist auf Antrag des Gläubigers über Maßregeln zur Sicherung hinaus fortzusetzen, wenn das Zeugnis des Urkundsbeamten der Geschäftsstelle dieses Gerichts vorgelegt wird, dass die Zwangsvollstreckung unbeschränkt stattfinden darf.</w:t>
      </w:r>
    </w:p>
    <w:p>
      <w:r>
        <w:t xml:space="preserve">(2) Das Zeugnis ist dem Gläubiger auf seinen Antrag zu erteilen,</w:t>
      </w:r>
    </w:p>
    <w:p>
      <w:pPr>
        <w:ind w:left="420"/>
      </w:pPr>
      <w:r>
        <w:t xml:space="preserve">1. wenn der Schuldner bis zum Ablauf der Frist zur Einlegung der Rechtsbeschwerde (§ 12 Absatz 2) keine Beschwerdeschrift eingereicht hat,</w:t>
      </w:r>
    </w:p>
    <w:p>
      <w:pPr>
        <w:ind w:left="420"/>
      </w:pPr>
      <w:r>
        <w:t xml:space="preserve">2. wenn der Bundesgerichtshof die Anordnung des Beschwerdegerichts aufgehoben hat (§ 18 Absatz 3 Satz 2) oder</w:t>
      </w:r>
    </w:p>
    <w:p>
      <w:pPr>
        <w:ind w:left="420"/>
      </w:pPr>
      <w:r>
        <w:t xml:space="preserve">3. wenn der Bundesgerichtshof die Rechtsbeschwerde des Schuldners zurückgewiesen hat.</w:t>
      </w:r>
    </w:p>
    <w:p>
      <w:r>
        <w:rPr>
          <w:color w:val="555555"/>
          <w:sz w:val="17"/>
        </w:rPr>
        <w:t xml:space="preserve">Zitiervorschlag: § 20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