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IntErbRVG — Unbeschränkte Fortsetzung der Zwangsvollstreckung; besondere gerichtliche Anordnungen</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Weist das Beschwerdegericht die Beschwerde des Schuldners gegen die Zulassung der Zwangsvollstreckung zurück oder lässt es auf die Beschwerde des Gläubigers die Zwangsvollstreckung aus dem Titel zu, so kann die Zwangsvollstreckung über Maßregeln zur Sicherung hinaus fortgesetzt werden.</w:t>
      </w:r>
    </w:p>
    <w:p>
      <w:r>
        <w:t xml:space="preserve">(2) Auf Antrag des Schuldners kann das Beschwerdegericht anordnen, dass bis zum Ablauf der Frist zur Einlegung der Rechtsbeschwerde oder bis zur Entscheidung über die Rechtsbeschwerde die Zwangsvollstreckung nicht oder nur gegen Sicherheitsleistung über Maßregeln zur Sicherung hinausgehen darf. Die Anordnung darf nur erlassen werden, wenn glaubhaft gemacht wird, dass die weiter gehende Vollstreckung dem Schuldner einen nicht zu ersetzenden Nachteil bringen würde. § 713 der Zivilprozessordnung ist entsprechend anzuwenden.</w:t>
      </w:r>
    </w:p>
    <w:p>
      <w:r>
        <w:t xml:space="preserve">(3) Wird Rechtsbeschwerde eingelegt, so kann der Bundesgerichtshof auf Antrag des Schuldners eine Anordnung nach Absatz 2 erlassen. Der Bundesgerichtshof kann auf Antrag des Gläubigers eine nach Absatz 2 erlassene Anordnung des Beschwerdegerichts abändern oder aufheben.</w:t>
      </w:r>
    </w:p>
    <w:p>
      <w:r>
        <w:rPr>
          <w:color w:val="555555"/>
          <w:sz w:val="17"/>
        </w:rPr>
        <w:t xml:space="preserve">Zitiervorschlag: § 18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