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IntErbRVG — Verfahren und Entscheidung über die Rechtsbeschwerde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Bundesgerichtshof kann über die Rechtsbeschwerde ohne mündliche Verhandlung entscheiden. Auf das Verfahren über die Rechtsbeschwerde sind § 574 Absatz 4, § 576 Absatz 3 und § 577 der Zivilprozessordnung entsprechend anzuwenden.</w:t>
      </w:r>
    </w:p>
    <w:p>
      <w:r>
        <w:t xml:space="preserve">(2) Soweit die Zwangsvollstreckung aus dem Titel erstmals durch den Bundesgerichtshof zugelassen wird, erteilt der Urkundsbeamte der Geschäftsstelle dieses Gerichts die Vollstreckungsklausel. § 7 Absatz 1 Satz 2 und 4 sowie die §§ 8 und 9 Absatz 1 gelten entsprechend. Ein Zusatz über die Beschränkung der Zwangsvollstreckung entfällt.</w:t>
      </w:r>
    </w:p>
    <w:p>
      <w:r>
        <w:rPr>
          <w:color w:val="555555"/>
          <w:sz w:val="17"/>
        </w:rPr>
        <w:t xml:space="preserve">Zitiervorschlag: § 14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