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IntErbRVG — Statthaftigkeit und Frist der Rechtsbeschwerde</w:t>
      </w:r>
    </w:p>
    <w:p>
      <w:r>
        <w:rPr>
          <w:color w:val="555555"/>
          <w:sz w:val="18"/>
        </w:rPr>
        <w:t xml:space="preserve">Internationales Erbrechtsverfahrensgesetz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Gegen den Beschluss des Beschwerdegerichts findet die Rechtsbeschwerde nach Maßgabe des § 574 Absatz 1 Satz 1 Nummer 1 und Absatz 2 der Zivilprozessordnung statt.</w:t>
      </w:r>
    </w:p>
    <w:p>
      <w:r>
        <w:t xml:space="preserve">(2) Die Rechtsbeschwerde ist innerhalb eines Monats einzulegen.</w:t>
      </w:r>
    </w:p>
    <w:p>
      <w:r>
        <w:t xml:space="preserve">(3) Die Rechtsbeschwerdefrist ist eine Notfrist und beginnt mit der Zustellung des Beschlusses (§ 11 Absatz 3).</w:t>
      </w:r>
    </w:p>
    <w:p>
      <w:r>
        <w:rPr>
          <w:color w:val="555555"/>
          <w:sz w:val="17"/>
        </w:rPr>
        <w:t xml:space="preserve">Zitiervorschlag: § 12 IntErbRVG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https://recht.nulegal.eu/gesetze/IntErbRVG/12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