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IntAtomOrgVorRV</w:t>
      </w:r>
    </w:p>
    <w:p>
      <w:r>
        <w:rPr>
          <w:color w:val="555555"/>
          <w:sz w:val="18"/>
        </w:rPr>
        <w:t xml:space="preserve">Verordnung über die Gewährung von Vorrechten und Befreiungen an die Internationale Atomenergie-Organisation</w:t>
      </w:r>
    </w:p>
    <w:p>
      <w:r>
        <w:rPr>
          <w:color w:val="555555"/>
          <w:sz w:val="18"/>
        </w:rPr>
        <w:t xml:space="preserve">Stand: 10.06.2019 (konsolidierte Textfassung, kein amtliches Inkrafttretensdatum)</w:t>
      </w:r>
    </w:p>
    <w:p>
      <w:r>
        <w:t xml:space="preserve">Diese Verordnung gilt nach § 14 des Dritten Überleitungsgesetzes vom 4. Januar 1952 (Bundesgesetzblatt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in der Fassung des Änderungsgesetzes vom 3. Juni 1957 auch im Land Berlin.</w:t>
      </w:r>
    </w:p>
    <w:p>
      <w:r>
        <w:rPr>
          <w:color w:val="555555"/>
          <w:sz w:val="17"/>
        </w:rPr>
        <w:t xml:space="preserve">Zitiervorschlag: § 2 IntAtomOrgVorRV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https://recht.nulegal.eu/gesetze/IntAtomOrgVorRV/2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