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IntAtomOrgVorRV</w:t>
      </w:r>
    </w:p>
    <w:p>
      <w:r>
        <w:rPr>
          <w:color w:val="555555"/>
          <w:sz w:val="18"/>
        </w:rPr>
        <w:t xml:space="preserve">Verordnung über die Gewährung von Vorrechten und Befreiungen an die Internationale Atomenergie-Organisation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Bestimmungen des Abkommens über die Vorrechte und Befreiungen der Sonderorganisationen der Vereinten Nationen finden sinngemäß auf die Internationale Atomenergie-Organisation Anwendung nach Maßgabe der auf Artikel XV der Satzung der Internationalen Atomenergie-Organisation (Bundesgesetzbl. 1957 II S. 1357) beruhenden Vereinbarung über die Vorrechte und Befreiungen der Internationalen Atomenergie-Organisation.</w:t>
      </w:r>
    </w:p>
    <w:p>
      <w:r>
        <w:t xml:space="preserve">(2) Auf Deutsche im Sinne des Artikels 116 des Grundgesetzes finden Artikel VI § 19 Buchstabe b des Abkommens vom 21. November 1947 und Artikel VI § 18 Buchstabe a (ii) der Vereinbarung über die Vorrechte und Befreiungen der Internationalen Atomenergie-Organisation keine Anwendung.</w:t>
      </w:r>
    </w:p>
    <w:p>
      <w:r>
        <w:rPr>
          <w:color w:val="555555"/>
          <w:sz w:val="17"/>
        </w:rPr>
        <w:t xml:space="preserve">Zitiervorschlag: § 1 IntAtomOrgVorRV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https://recht.nulegal.eu/gesetze/IntAtomOrgVorRV/1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